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8F337" w14:textId="77777777" w:rsidR="00292E6F" w:rsidRDefault="00292E6F" w:rsidP="003525CF">
      <w:pPr>
        <w:pStyle w:val="Subtitle"/>
        <w:ind w:right="-613"/>
        <w:rPr>
          <w:rFonts w:ascii="Arial Narrow" w:hAnsi="Arial Narrow"/>
          <w:b w:val="0"/>
        </w:rPr>
      </w:pPr>
    </w:p>
    <w:p w14:paraId="38574EEF" w14:textId="77777777" w:rsidR="00292E6F" w:rsidRDefault="00292E6F" w:rsidP="003525CF">
      <w:pPr>
        <w:pStyle w:val="Subtitle"/>
        <w:ind w:right="-613"/>
        <w:rPr>
          <w:rFonts w:ascii="Arial Narrow" w:hAnsi="Arial Narrow"/>
          <w:b w:val="0"/>
        </w:rPr>
      </w:pPr>
    </w:p>
    <w:p w14:paraId="087C0B62" w14:textId="77777777" w:rsidR="00292E6F" w:rsidRDefault="00292E6F" w:rsidP="003525CF">
      <w:pPr>
        <w:pStyle w:val="Heading2"/>
        <w:ind w:right="-613"/>
        <w:jc w:val="right"/>
        <w:rPr>
          <w:rFonts w:ascii="Arial" w:hAnsi="Arial" w:cs="Arial"/>
        </w:rPr>
      </w:pPr>
      <w:r>
        <w:rPr>
          <w:rFonts w:ascii="Arial" w:hAnsi="Arial" w:cs="Arial"/>
        </w:rPr>
        <w:t xml:space="preserve">Part 7 – </w:t>
      </w:r>
      <w:r w:rsidR="00DE1F6E">
        <w:rPr>
          <w:rFonts w:ascii="Arial" w:hAnsi="Arial" w:cs="Arial"/>
        </w:rPr>
        <w:t>Scheme</w:t>
      </w:r>
      <w:r>
        <w:rPr>
          <w:rFonts w:ascii="Arial" w:hAnsi="Arial" w:cs="Arial"/>
        </w:rPr>
        <w:t xml:space="preserve"> of allowances and expenditure for the Police and Crime Commissioner</w:t>
      </w:r>
      <w:r w:rsidR="00DE1F6E">
        <w:rPr>
          <w:rFonts w:ascii="Arial" w:hAnsi="Arial" w:cs="Arial"/>
        </w:rPr>
        <w:t>,</w:t>
      </w:r>
      <w:r w:rsidR="00AB46A0">
        <w:rPr>
          <w:rFonts w:ascii="Arial" w:hAnsi="Arial" w:cs="Arial"/>
        </w:rPr>
        <w:t xml:space="preserve"> </w:t>
      </w:r>
      <w:r w:rsidR="008A5287">
        <w:rPr>
          <w:rFonts w:ascii="Arial" w:hAnsi="Arial" w:cs="Arial"/>
        </w:rPr>
        <w:t xml:space="preserve">Independent Advisors to the Police and Crime Commissioner, </w:t>
      </w:r>
      <w:r>
        <w:rPr>
          <w:rFonts w:ascii="Arial" w:hAnsi="Arial" w:cs="Arial"/>
        </w:rPr>
        <w:t>and panel, committee or community members</w:t>
      </w:r>
    </w:p>
    <w:p w14:paraId="19CD58F0" w14:textId="77777777" w:rsidR="00292E6F" w:rsidRDefault="00292E6F" w:rsidP="003525CF">
      <w:pPr>
        <w:ind w:right="-613"/>
        <w:rPr>
          <w:rFonts w:ascii="Arial" w:hAnsi="Arial" w:cs="Arial"/>
        </w:rPr>
      </w:pPr>
    </w:p>
    <w:p w14:paraId="75D9BAB6" w14:textId="77777777" w:rsidR="00292E6F" w:rsidRDefault="00292E6F" w:rsidP="003525CF">
      <w:pPr>
        <w:ind w:right="-613"/>
        <w:rPr>
          <w:rFonts w:ascii="Arial" w:hAnsi="Arial" w:cs="Arial"/>
        </w:rPr>
      </w:pPr>
    </w:p>
    <w:p w14:paraId="3CDCDBEB" w14:textId="77777777" w:rsidR="00292E6F" w:rsidRDefault="00292E6F" w:rsidP="003525CF">
      <w:pPr>
        <w:ind w:right="-613"/>
        <w:rPr>
          <w:rFonts w:ascii="Arial" w:hAnsi="Arial" w:cs="Arial"/>
        </w:rPr>
      </w:pPr>
    </w:p>
    <w:p w14:paraId="7FED8D53" w14:textId="77777777" w:rsidR="00292E6F" w:rsidRDefault="00292E6F" w:rsidP="003525CF">
      <w:pPr>
        <w:ind w:right="-613"/>
        <w:rPr>
          <w:rFonts w:ascii="Arial" w:hAnsi="Arial" w:cs="Arial"/>
        </w:rPr>
      </w:pPr>
    </w:p>
    <w:p w14:paraId="5753A9E1" w14:textId="77777777" w:rsidR="00B32138" w:rsidRDefault="00B32138" w:rsidP="003525CF">
      <w:pPr>
        <w:ind w:right="-613"/>
        <w:rPr>
          <w:rFonts w:ascii="Arial" w:hAnsi="Arial" w:cs="Arial"/>
        </w:rPr>
      </w:pPr>
    </w:p>
    <w:p w14:paraId="3FA8F8FA" w14:textId="77777777" w:rsidR="00B32138" w:rsidRDefault="00B32138" w:rsidP="003525CF">
      <w:pPr>
        <w:ind w:right="-613"/>
        <w:rPr>
          <w:rFonts w:ascii="Arial" w:hAnsi="Arial" w:cs="Arial"/>
        </w:rPr>
      </w:pPr>
    </w:p>
    <w:p w14:paraId="5064594C" w14:textId="77777777" w:rsidR="00B32138" w:rsidRDefault="00B32138" w:rsidP="003525CF">
      <w:pPr>
        <w:ind w:right="-613"/>
        <w:rPr>
          <w:rFonts w:ascii="Arial" w:hAnsi="Arial" w:cs="Arial"/>
        </w:rPr>
      </w:pPr>
    </w:p>
    <w:p w14:paraId="34C2A794" w14:textId="77777777" w:rsidR="00B32138" w:rsidRDefault="00B32138" w:rsidP="003525CF">
      <w:pPr>
        <w:ind w:right="-613"/>
        <w:rPr>
          <w:rFonts w:ascii="Arial" w:hAnsi="Arial" w:cs="Arial"/>
        </w:rPr>
      </w:pPr>
    </w:p>
    <w:p w14:paraId="2AA3B2FB" w14:textId="77777777" w:rsidR="00B32138" w:rsidRDefault="00B32138" w:rsidP="003525CF">
      <w:pPr>
        <w:ind w:right="-613"/>
        <w:rPr>
          <w:rFonts w:ascii="Arial" w:hAnsi="Arial" w:cs="Arial"/>
        </w:rPr>
      </w:pPr>
    </w:p>
    <w:p w14:paraId="65161555" w14:textId="77777777" w:rsidR="00B32138" w:rsidRDefault="00B32138" w:rsidP="003525CF">
      <w:pPr>
        <w:ind w:right="-613"/>
        <w:rPr>
          <w:rFonts w:ascii="Arial" w:hAnsi="Arial" w:cs="Arial"/>
        </w:rPr>
      </w:pPr>
    </w:p>
    <w:p w14:paraId="1B3D4907" w14:textId="77777777" w:rsidR="00B32138" w:rsidRDefault="00B32138" w:rsidP="003525CF">
      <w:pPr>
        <w:ind w:right="-613"/>
        <w:rPr>
          <w:rFonts w:ascii="Arial" w:hAnsi="Arial" w:cs="Arial"/>
        </w:rPr>
      </w:pPr>
    </w:p>
    <w:p w14:paraId="192761A5" w14:textId="77777777" w:rsidR="00B32138" w:rsidRDefault="00B32138" w:rsidP="003525CF">
      <w:pPr>
        <w:ind w:right="-613"/>
        <w:rPr>
          <w:rFonts w:ascii="Arial" w:hAnsi="Arial" w:cs="Arial"/>
        </w:rPr>
      </w:pPr>
    </w:p>
    <w:p w14:paraId="16D9B117" w14:textId="77777777" w:rsidR="00B32138" w:rsidRDefault="00B32138" w:rsidP="003525CF">
      <w:pPr>
        <w:ind w:right="-613"/>
        <w:rPr>
          <w:rFonts w:ascii="Arial" w:hAnsi="Arial" w:cs="Arial"/>
        </w:rPr>
      </w:pPr>
    </w:p>
    <w:p w14:paraId="386B7109" w14:textId="77777777" w:rsidR="00B32138" w:rsidRDefault="00B32138" w:rsidP="003525CF">
      <w:pPr>
        <w:ind w:right="-613"/>
        <w:rPr>
          <w:rFonts w:ascii="Arial" w:hAnsi="Arial" w:cs="Arial"/>
        </w:rPr>
      </w:pPr>
    </w:p>
    <w:p w14:paraId="0CDC2A28" w14:textId="77777777" w:rsidR="00B32138" w:rsidRDefault="00B32138" w:rsidP="003525CF">
      <w:pPr>
        <w:ind w:right="-613"/>
        <w:rPr>
          <w:rFonts w:ascii="Arial" w:hAnsi="Arial" w:cs="Arial"/>
        </w:rPr>
      </w:pPr>
    </w:p>
    <w:p w14:paraId="754A09BC" w14:textId="77777777" w:rsidR="00292E6F" w:rsidRDefault="00292E6F" w:rsidP="003525CF">
      <w:pPr>
        <w:ind w:right="-613"/>
        <w:rPr>
          <w:rFonts w:ascii="Arial" w:hAnsi="Arial" w:cs="Arial"/>
        </w:rPr>
      </w:pPr>
    </w:p>
    <w:p w14:paraId="34645CE5" w14:textId="77777777" w:rsidR="00292E6F" w:rsidRDefault="00292E6F" w:rsidP="003525CF">
      <w:pPr>
        <w:ind w:right="-613"/>
        <w:rPr>
          <w:rFonts w:ascii="Arial" w:hAnsi="Arial" w:cs="Arial"/>
        </w:rPr>
      </w:pPr>
    </w:p>
    <w:p w14:paraId="094C90BD" w14:textId="77777777" w:rsidR="00292E6F" w:rsidRDefault="00292E6F" w:rsidP="003525CF">
      <w:pPr>
        <w:ind w:right="-613"/>
        <w:rPr>
          <w:rFonts w:ascii="Arial" w:hAnsi="Arial" w:cs="Arial"/>
        </w:rPr>
      </w:pPr>
    </w:p>
    <w:p w14:paraId="59596A71" w14:textId="77777777" w:rsidR="00292E6F" w:rsidRPr="00292E6F" w:rsidRDefault="00292E6F" w:rsidP="003525CF">
      <w:pPr>
        <w:ind w:right="-613"/>
        <w:jc w:val="right"/>
        <w:rPr>
          <w:rFonts w:ascii="Arial" w:hAnsi="Arial" w:cs="Arial"/>
          <w:sz w:val="40"/>
          <w:szCs w:val="40"/>
        </w:rPr>
      </w:pPr>
      <w:r w:rsidRPr="00292E6F">
        <w:rPr>
          <w:rFonts w:ascii="Arial" w:hAnsi="Arial" w:cs="Arial"/>
          <w:sz w:val="40"/>
          <w:szCs w:val="40"/>
        </w:rPr>
        <w:t>Part 7</w:t>
      </w:r>
    </w:p>
    <w:p w14:paraId="56554B57" w14:textId="77777777" w:rsidR="00292E6F" w:rsidRPr="00B32138" w:rsidRDefault="00292E6F" w:rsidP="003525CF">
      <w:pPr>
        <w:ind w:right="-613"/>
        <w:jc w:val="right"/>
        <w:rPr>
          <w:rFonts w:ascii="Arial" w:hAnsi="Arial" w:cs="Arial"/>
          <w:sz w:val="32"/>
          <w:szCs w:val="32"/>
        </w:rPr>
      </w:pPr>
      <w:r w:rsidRPr="00B32138">
        <w:rPr>
          <w:rFonts w:ascii="Arial" w:hAnsi="Arial" w:cs="Arial"/>
          <w:sz w:val="32"/>
          <w:szCs w:val="32"/>
        </w:rPr>
        <w:t>Scheme of allowances and expenditure for the Police and Crime Commissioner</w:t>
      </w:r>
      <w:r w:rsidR="008A5287">
        <w:rPr>
          <w:rFonts w:ascii="Arial" w:hAnsi="Arial" w:cs="Arial"/>
          <w:sz w:val="32"/>
          <w:szCs w:val="32"/>
        </w:rPr>
        <w:t xml:space="preserve">, </w:t>
      </w:r>
      <w:r w:rsidR="008A5287" w:rsidRPr="008A5287">
        <w:rPr>
          <w:rFonts w:ascii="Arial" w:hAnsi="Arial" w:cs="Arial"/>
          <w:sz w:val="32"/>
          <w:szCs w:val="32"/>
        </w:rPr>
        <w:t>Independent Advisors to the Police and Crime Commissioner</w:t>
      </w:r>
      <w:r w:rsidRPr="00B32138">
        <w:rPr>
          <w:rFonts w:ascii="Arial" w:hAnsi="Arial" w:cs="Arial"/>
          <w:sz w:val="32"/>
          <w:szCs w:val="32"/>
        </w:rPr>
        <w:t xml:space="preserve"> and panel, committee or community members </w:t>
      </w:r>
      <w:r w:rsidRPr="00B32138">
        <w:rPr>
          <w:rFonts w:ascii="Arial" w:hAnsi="Arial" w:cs="Arial"/>
          <w:sz w:val="32"/>
          <w:szCs w:val="32"/>
        </w:rPr>
        <w:br w:type="page"/>
      </w:r>
    </w:p>
    <w:p w14:paraId="21381DBA" w14:textId="77777777" w:rsidR="00292E6F" w:rsidRPr="00B32138" w:rsidRDefault="00292E6F" w:rsidP="003525CF">
      <w:pPr>
        <w:ind w:right="-613"/>
        <w:rPr>
          <w:rFonts w:ascii="Arial" w:hAnsi="Arial" w:cs="Arial"/>
          <w:sz w:val="32"/>
          <w:szCs w:val="32"/>
        </w:rPr>
      </w:pPr>
      <w:r w:rsidRPr="00B32138">
        <w:rPr>
          <w:rFonts w:ascii="Arial" w:hAnsi="Arial" w:cs="Arial"/>
          <w:sz w:val="32"/>
          <w:szCs w:val="32"/>
        </w:rPr>
        <w:lastRenderedPageBreak/>
        <w:t>Scheme of allowances and expenditure for the Police and Crime Commissioner</w:t>
      </w:r>
      <w:r w:rsidR="008A5287">
        <w:rPr>
          <w:rFonts w:ascii="Arial" w:hAnsi="Arial" w:cs="Arial"/>
          <w:sz w:val="32"/>
          <w:szCs w:val="32"/>
        </w:rPr>
        <w:t xml:space="preserve">, Independent Advisors to the Police and Crime Commissioner, </w:t>
      </w:r>
      <w:r w:rsidRPr="00B32138">
        <w:rPr>
          <w:rFonts w:ascii="Arial" w:hAnsi="Arial" w:cs="Arial"/>
          <w:sz w:val="32"/>
          <w:szCs w:val="32"/>
        </w:rPr>
        <w:t>and panel, committee or community members</w:t>
      </w:r>
    </w:p>
    <w:p w14:paraId="00D9293D" w14:textId="77777777" w:rsidR="00292E6F" w:rsidRPr="00292E6F" w:rsidRDefault="00292E6F" w:rsidP="003525CF">
      <w:pPr>
        <w:ind w:right="-613"/>
        <w:jc w:val="right"/>
        <w:rPr>
          <w:rFonts w:ascii="Arial" w:hAnsi="Arial" w:cs="Arial"/>
          <w:sz w:val="40"/>
          <w:szCs w:val="40"/>
        </w:rPr>
      </w:pPr>
    </w:p>
    <w:p w14:paraId="260FB346" w14:textId="77777777" w:rsidR="00292E6F" w:rsidRPr="00292E6F" w:rsidRDefault="00292E6F" w:rsidP="003525CF">
      <w:pPr>
        <w:ind w:right="-613"/>
        <w:jc w:val="right"/>
        <w:rPr>
          <w:rFonts w:ascii="Arial" w:hAnsi="Arial" w:cs="Arial"/>
          <w:sz w:val="40"/>
          <w:szCs w:val="40"/>
        </w:rPr>
      </w:pPr>
    </w:p>
    <w:p w14:paraId="435D3B0E" w14:textId="77777777" w:rsidR="008554DA" w:rsidRDefault="00484B74" w:rsidP="003525CF">
      <w:pPr>
        <w:pStyle w:val="Default"/>
        <w:ind w:right="-613"/>
        <w:rPr>
          <w:rFonts w:ascii="Arial" w:hAnsi="Arial" w:cs="Arial"/>
          <w:b/>
        </w:rPr>
      </w:pPr>
      <w:r w:rsidRPr="00484B74">
        <w:rPr>
          <w:rFonts w:ascii="Arial" w:hAnsi="Arial" w:cs="Arial"/>
          <w:b/>
        </w:rPr>
        <w:t xml:space="preserve">PART 1 GENERAL PROVISIONS </w:t>
      </w:r>
    </w:p>
    <w:p w14:paraId="6AAF5705" w14:textId="77777777" w:rsidR="00484B74" w:rsidRDefault="008554DA" w:rsidP="009B2A18">
      <w:pPr>
        <w:pStyle w:val="Default"/>
        <w:tabs>
          <w:tab w:val="right" w:pos="9214"/>
        </w:tabs>
        <w:ind w:right="-613"/>
        <w:rPr>
          <w:rFonts w:ascii="Arial" w:hAnsi="Arial" w:cs="Arial"/>
        </w:rPr>
      </w:pPr>
      <w:r>
        <w:rPr>
          <w:rFonts w:ascii="Arial" w:hAnsi="Arial" w:cs="Arial"/>
        </w:rPr>
        <w:tab/>
        <w:t>Page Number</w:t>
      </w:r>
    </w:p>
    <w:p w14:paraId="63AA558C" w14:textId="77777777" w:rsidR="00292E6F" w:rsidRPr="00484B74" w:rsidRDefault="00292E6F" w:rsidP="009B2A18">
      <w:pPr>
        <w:pStyle w:val="Default"/>
        <w:tabs>
          <w:tab w:val="left" w:pos="426"/>
          <w:tab w:val="right" w:leader="dot" w:pos="9356"/>
        </w:tabs>
        <w:ind w:right="-613"/>
        <w:rPr>
          <w:rFonts w:ascii="Arial" w:hAnsi="Arial" w:cs="Arial"/>
        </w:rPr>
      </w:pPr>
      <w:r w:rsidRPr="00484B74">
        <w:rPr>
          <w:rFonts w:ascii="Arial" w:hAnsi="Arial" w:cs="Arial"/>
        </w:rPr>
        <w:t>1</w:t>
      </w:r>
      <w:r w:rsidR="00670FB3">
        <w:rPr>
          <w:rFonts w:ascii="Arial" w:hAnsi="Arial" w:cs="Arial"/>
        </w:rPr>
        <w:tab/>
      </w:r>
      <w:r w:rsidRPr="00484B74">
        <w:rPr>
          <w:rFonts w:ascii="Arial" w:hAnsi="Arial" w:cs="Arial"/>
        </w:rPr>
        <w:t xml:space="preserve">INTRODUCTION </w:t>
      </w:r>
      <w:r w:rsidR="00481EFF">
        <w:rPr>
          <w:rFonts w:ascii="Arial" w:hAnsi="Arial" w:cs="Arial"/>
        </w:rPr>
        <w:tab/>
      </w:r>
      <w:r w:rsidR="00B3477B">
        <w:rPr>
          <w:rFonts w:ascii="Arial" w:hAnsi="Arial" w:cs="Arial"/>
        </w:rPr>
        <w:t>3</w:t>
      </w:r>
    </w:p>
    <w:p w14:paraId="18A0C9EF" w14:textId="77777777" w:rsidR="00292E6F" w:rsidRPr="00484B74" w:rsidRDefault="00292E6F" w:rsidP="009B2A18">
      <w:pPr>
        <w:pStyle w:val="Default"/>
        <w:tabs>
          <w:tab w:val="left" w:pos="426"/>
          <w:tab w:val="right" w:leader="dot" w:pos="9356"/>
        </w:tabs>
        <w:ind w:right="-613"/>
        <w:rPr>
          <w:rFonts w:ascii="Arial" w:hAnsi="Arial" w:cs="Arial"/>
        </w:rPr>
      </w:pPr>
      <w:r w:rsidRPr="00484B74">
        <w:rPr>
          <w:rFonts w:ascii="Arial" w:hAnsi="Arial" w:cs="Arial"/>
        </w:rPr>
        <w:t xml:space="preserve">2 </w:t>
      </w:r>
      <w:r w:rsidR="00670FB3">
        <w:rPr>
          <w:rFonts w:ascii="Arial" w:hAnsi="Arial" w:cs="Arial"/>
        </w:rPr>
        <w:tab/>
      </w:r>
      <w:r w:rsidR="00484B74" w:rsidRPr="00484B74">
        <w:rPr>
          <w:rFonts w:ascii="Arial" w:hAnsi="Arial" w:cs="Arial"/>
        </w:rPr>
        <w:t>PURPOSE</w:t>
      </w:r>
      <w:r w:rsidRPr="00484B74">
        <w:rPr>
          <w:rFonts w:ascii="Arial" w:hAnsi="Arial" w:cs="Arial"/>
        </w:rPr>
        <w:t xml:space="preserve"> </w:t>
      </w:r>
      <w:r w:rsidR="00481EFF">
        <w:rPr>
          <w:rFonts w:ascii="Arial" w:hAnsi="Arial" w:cs="Arial"/>
        </w:rPr>
        <w:tab/>
      </w:r>
      <w:r w:rsidR="00B3477B">
        <w:rPr>
          <w:rFonts w:ascii="Arial" w:hAnsi="Arial" w:cs="Arial"/>
        </w:rPr>
        <w:t>3</w:t>
      </w:r>
    </w:p>
    <w:p w14:paraId="6B6F82C7" w14:textId="77777777" w:rsidR="00292E6F" w:rsidRPr="00484B74" w:rsidRDefault="00484B74" w:rsidP="009B2A18">
      <w:pPr>
        <w:pStyle w:val="Default"/>
        <w:tabs>
          <w:tab w:val="left" w:pos="426"/>
          <w:tab w:val="right" w:leader="dot" w:pos="9356"/>
        </w:tabs>
        <w:ind w:right="-613"/>
        <w:rPr>
          <w:rFonts w:ascii="Arial" w:hAnsi="Arial" w:cs="Arial"/>
        </w:rPr>
      </w:pPr>
      <w:r>
        <w:rPr>
          <w:rFonts w:ascii="Arial" w:hAnsi="Arial" w:cs="Arial"/>
        </w:rPr>
        <w:t>3</w:t>
      </w:r>
      <w:r w:rsidR="00292E6F" w:rsidRPr="00484B74">
        <w:rPr>
          <w:rFonts w:ascii="Arial" w:hAnsi="Arial" w:cs="Arial"/>
        </w:rPr>
        <w:t xml:space="preserve"> </w:t>
      </w:r>
      <w:r w:rsidR="00670FB3">
        <w:rPr>
          <w:rFonts w:ascii="Arial" w:hAnsi="Arial" w:cs="Arial"/>
        </w:rPr>
        <w:tab/>
      </w:r>
      <w:r w:rsidR="00292E6F" w:rsidRPr="00484B74">
        <w:rPr>
          <w:rFonts w:ascii="Arial" w:hAnsi="Arial" w:cs="Arial"/>
        </w:rPr>
        <w:t xml:space="preserve">ELECTION NOT TO RECEIVE PAYMENT </w:t>
      </w:r>
      <w:r w:rsidR="00481EFF">
        <w:rPr>
          <w:rFonts w:ascii="Arial" w:hAnsi="Arial" w:cs="Arial"/>
        </w:rPr>
        <w:tab/>
      </w:r>
      <w:r w:rsidR="00B3477B">
        <w:rPr>
          <w:rFonts w:ascii="Arial" w:hAnsi="Arial" w:cs="Arial"/>
        </w:rPr>
        <w:t>3</w:t>
      </w:r>
    </w:p>
    <w:p w14:paraId="2FF90BE6" w14:textId="77777777" w:rsidR="00292E6F" w:rsidRPr="00484B74" w:rsidRDefault="00484B74" w:rsidP="009B2A18">
      <w:pPr>
        <w:pStyle w:val="Default"/>
        <w:tabs>
          <w:tab w:val="left" w:pos="426"/>
          <w:tab w:val="right" w:leader="dot" w:pos="9356"/>
        </w:tabs>
        <w:ind w:right="-613"/>
        <w:rPr>
          <w:rFonts w:ascii="Arial" w:hAnsi="Arial" w:cs="Arial"/>
        </w:rPr>
      </w:pPr>
      <w:r>
        <w:rPr>
          <w:rFonts w:ascii="Arial" w:hAnsi="Arial" w:cs="Arial"/>
        </w:rPr>
        <w:t>4</w:t>
      </w:r>
      <w:r w:rsidR="00292E6F" w:rsidRPr="00484B74">
        <w:rPr>
          <w:rFonts w:ascii="Arial" w:hAnsi="Arial" w:cs="Arial"/>
        </w:rPr>
        <w:t xml:space="preserve"> </w:t>
      </w:r>
      <w:r w:rsidR="00670FB3">
        <w:rPr>
          <w:rFonts w:ascii="Arial" w:hAnsi="Arial" w:cs="Arial"/>
        </w:rPr>
        <w:tab/>
      </w:r>
      <w:r w:rsidR="00292E6F" w:rsidRPr="00484B74">
        <w:rPr>
          <w:rFonts w:ascii="Arial" w:hAnsi="Arial" w:cs="Arial"/>
        </w:rPr>
        <w:t xml:space="preserve">UP-RATING OF ALLOWANCES </w:t>
      </w:r>
      <w:r w:rsidR="00481EFF">
        <w:rPr>
          <w:rFonts w:ascii="Arial" w:hAnsi="Arial" w:cs="Arial"/>
        </w:rPr>
        <w:tab/>
      </w:r>
      <w:r w:rsidR="00B3477B">
        <w:rPr>
          <w:rFonts w:ascii="Arial" w:hAnsi="Arial" w:cs="Arial"/>
        </w:rPr>
        <w:t>3</w:t>
      </w:r>
    </w:p>
    <w:p w14:paraId="004A36EC" w14:textId="77777777" w:rsidR="00292E6F" w:rsidRPr="00484B74" w:rsidRDefault="00484B74" w:rsidP="009B2A18">
      <w:pPr>
        <w:pStyle w:val="Default"/>
        <w:tabs>
          <w:tab w:val="left" w:pos="426"/>
          <w:tab w:val="right" w:leader="dot" w:pos="9356"/>
        </w:tabs>
        <w:ind w:right="-613"/>
        <w:rPr>
          <w:rFonts w:ascii="Arial" w:hAnsi="Arial" w:cs="Arial"/>
        </w:rPr>
      </w:pPr>
      <w:r>
        <w:rPr>
          <w:rFonts w:ascii="Arial" w:hAnsi="Arial" w:cs="Arial"/>
        </w:rPr>
        <w:t>5</w:t>
      </w:r>
      <w:r w:rsidR="00292E6F" w:rsidRPr="00484B74">
        <w:rPr>
          <w:rFonts w:ascii="Arial" w:hAnsi="Arial" w:cs="Arial"/>
        </w:rPr>
        <w:t xml:space="preserve"> </w:t>
      </w:r>
      <w:r w:rsidR="00670FB3">
        <w:rPr>
          <w:rFonts w:ascii="Arial" w:hAnsi="Arial" w:cs="Arial"/>
        </w:rPr>
        <w:tab/>
      </w:r>
      <w:r w:rsidR="00292E6F" w:rsidRPr="00484B74">
        <w:rPr>
          <w:rFonts w:ascii="Arial" w:hAnsi="Arial" w:cs="Arial"/>
        </w:rPr>
        <w:t xml:space="preserve">UP-RATING OF REIMBURSEMENTS </w:t>
      </w:r>
      <w:r w:rsidR="00481EFF">
        <w:rPr>
          <w:rFonts w:ascii="Arial" w:hAnsi="Arial" w:cs="Arial"/>
        </w:rPr>
        <w:tab/>
      </w:r>
      <w:r w:rsidR="00B3477B">
        <w:rPr>
          <w:rFonts w:ascii="Arial" w:hAnsi="Arial" w:cs="Arial"/>
        </w:rPr>
        <w:t>3</w:t>
      </w:r>
    </w:p>
    <w:p w14:paraId="3A29B056" w14:textId="77777777" w:rsidR="00292E6F" w:rsidRPr="00484B74" w:rsidRDefault="00484B74" w:rsidP="009B2A18">
      <w:pPr>
        <w:pStyle w:val="Default"/>
        <w:tabs>
          <w:tab w:val="left" w:pos="426"/>
          <w:tab w:val="right" w:leader="dot" w:pos="9356"/>
        </w:tabs>
        <w:ind w:right="-613"/>
        <w:rPr>
          <w:rFonts w:ascii="Arial" w:hAnsi="Arial" w:cs="Arial"/>
        </w:rPr>
      </w:pPr>
      <w:r>
        <w:rPr>
          <w:rFonts w:ascii="Arial" w:hAnsi="Arial" w:cs="Arial"/>
        </w:rPr>
        <w:t>6</w:t>
      </w:r>
      <w:r w:rsidR="00292E6F" w:rsidRPr="00484B74">
        <w:rPr>
          <w:rFonts w:ascii="Arial" w:hAnsi="Arial" w:cs="Arial"/>
        </w:rPr>
        <w:t xml:space="preserve"> </w:t>
      </w:r>
      <w:r w:rsidR="00670FB3">
        <w:rPr>
          <w:rFonts w:ascii="Arial" w:hAnsi="Arial" w:cs="Arial"/>
        </w:rPr>
        <w:tab/>
      </w:r>
      <w:r w:rsidR="00292E6F" w:rsidRPr="00484B74">
        <w:rPr>
          <w:rFonts w:ascii="Arial" w:hAnsi="Arial" w:cs="Arial"/>
        </w:rPr>
        <w:t xml:space="preserve">PAYMENT OF ALLOWANCE AND EXPENSES </w:t>
      </w:r>
      <w:r w:rsidR="00481EFF">
        <w:rPr>
          <w:rFonts w:ascii="Arial" w:hAnsi="Arial" w:cs="Arial"/>
        </w:rPr>
        <w:tab/>
      </w:r>
      <w:r w:rsidR="00B3477B">
        <w:rPr>
          <w:rFonts w:ascii="Arial" w:hAnsi="Arial" w:cs="Arial"/>
        </w:rPr>
        <w:t>4</w:t>
      </w:r>
    </w:p>
    <w:p w14:paraId="6C5E9A59" w14:textId="77777777" w:rsidR="00292E6F" w:rsidRPr="00484B74" w:rsidRDefault="00484B74" w:rsidP="009B2A18">
      <w:pPr>
        <w:pStyle w:val="Default"/>
        <w:tabs>
          <w:tab w:val="left" w:pos="426"/>
          <w:tab w:val="right" w:leader="dot" w:pos="9356"/>
        </w:tabs>
        <w:ind w:right="-613"/>
        <w:rPr>
          <w:rFonts w:ascii="Arial" w:hAnsi="Arial" w:cs="Arial"/>
        </w:rPr>
      </w:pPr>
      <w:r>
        <w:rPr>
          <w:rFonts w:ascii="Arial" w:hAnsi="Arial" w:cs="Arial"/>
        </w:rPr>
        <w:t>7</w:t>
      </w:r>
      <w:r w:rsidR="00292E6F" w:rsidRPr="00484B74">
        <w:rPr>
          <w:rFonts w:ascii="Arial" w:hAnsi="Arial" w:cs="Arial"/>
        </w:rPr>
        <w:t xml:space="preserve"> </w:t>
      </w:r>
      <w:r w:rsidR="00670FB3">
        <w:rPr>
          <w:rFonts w:ascii="Arial" w:hAnsi="Arial" w:cs="Arial"/>
        </w:rPr>
        <w:tab/>
      </w:r>
      <w:r w:rsidR="00D03070">
        <w:rPr>
          <w:rFonts w:ascii="Arial" w:hAnsi="Arial" w:cs="Arial"/>
        </w:rPr>
        <w:t>REPAYMENT OF ALLOWANCES</w:t>
      </w:r>
      <w:r w:rsidR="00292E6F" w:rsidRPr="00484B74">
        <w:rPr>
          <w:rFonts w:ascii="Arial" w:hAnsi="Arial" w:cs="Arial"/>
        </w:rPr>
        <w:t xml:space="preserve"> </w:t>
      </w:r>
      <w:r w:rsidR="00481EFF">
        <w:rPr>
          <w:rFonts w:ascii="Arial" w:hAnsi="Arial" w:cs="Arial"/>
        </w:rPr>
        <w:tab/>
      </w:r>
      <w:r w:rsidR="00B3477B">
        <w:rPr>
          <w:rFonts w:ascii="Arial" w:hAnsi="Arial" w:cs="Arial"/>
        </w:rPr>
        <w:t>4</w:t>
      </w:r>
    </w:p>
    <w:p w14:paraId="04543F06" w14:textId="77777777" w:rsidR="00292E6F" w:rsidRPr="00484B74" w:rsidRDefault="00484B74" w:rsidP="009B2A18">
      <w:pPr>
        <w:pStyle w:val="Default"/>
        <w:tabs>
          <w:tab w:val="left" w:pos="426"/>
          <w:tab w:val="right" w:leader="dot" w:pos="9356"/>
        </w:tabs>
        <w:ind w:right="-613"/>
        <w:rPr>
          <w:rFonts w:ascii="Arial" w:hAnsi="Arial" w:cs="Arial"/>
        </w:rPr>
      </w:pPr>
      <w:r>
        <w:rPr>
          <w:rFonts w:ascii="Arial" w:hAnsi="Arial" w:cs="Arial"/>
        </w:rPr>
        <w:t>8</w:t>
      </w:r>
      <w:r w:rsidR="00292E6F" w:rsidRPr="00484B74">
        <w:rPr>
          <w:rFonts w:ascii="Arial" w:hAnsi="Arial" w:cs="Arial"/>
        </w:rPr>
        <w:t xml:space="preserve"> </w:t>
      </w:r>
      <w:r w:rsidR="00670FB3">
        <w:rPr>
          <w:rFonts w:ascii="Arial" w:hAnsi="Arial" w:cs="Arial"/>
        </w:rPr>
        <w:tab/>
      </w:r>
      <w:r w:rsidR="00292E6F" w:rsidRPr="00484B74">
        <w:rPr>
          <w:rFonts w:ascii="Arial" w:hAnsi="Arial" w:cs="Arial"/>
        </w:rPr>
        <w:t xml:space="preserve">TAXATION </w:t>
      </w:r>
      <w:r w:rsidR="00481EFF">
        <w:rPr>
          <w:rFonts w:ascii="Arial" w:hAnsi="Arial" w:cs="Arial"/>
        </w:rPr>
        <w:tab/>
      </w:r>
      <w:r w:rsidR="00B3477B">
        <w:rPr>
          <w:rFonts w:ascii="Arial" w:hAnsi="Arial" w:cs="Arial"/>
        </w:rPr>
        <w:t>4</w:t>
      </w:r>
    </w:p>
    <w:p w14:paraId="2F0271DE" w14:textId="77777777" w:rsidR="00292E6F" w:rsidRPr="00484B74" w:rsidRDefault="00484B74" w:rsidP="009B2A18">
      <w:pPr>
        <w:pStyle w:val="Default"/>
        <w:tabs>
          <w:tab w:val="left" w:pos="426"/>
          <w:tab w:val="right" w:leader="dot" w:pos="9356"/>
        </w:tabs>
        <w:ind w:right="-613"/>
        <w:rPr>
          <w:rFonts w:ascii="Arial" w:hAnsi="Arial" w:cs="Arial"/>
        </w:rPr>
      </w:pPr>
      <w:r>
        <w:rPr>
          <w:rFonts w:ascii="Arial" w:hAnsi="Arial" w:cs="Arial"/>
        </w:rPr>
        <w:t>9</w:t>
      </w:r>
      <w:r w:rsidR="00292E6F" w:rsidRPr="00484B74">
        <w:rPr>
          <w:rFonts w:ascii="Arial" w:hAnsi="Arial" w:cs="Arial"/>
        </w:rPr>
        <w:t xml:space="preserve"> </w:t>
      </w:r>
      <w:r w:rsidR="00670FB3">
        <w:rPr>
          <w:rFonts w:ascii="Arial" w:hAnsi="Arial" w:cs="Arial"/>
        </w:rPr>
        <w:tab/>
      </w:r>
      <w:r w:rsidR="00292E6F" w:rsidRPr="00484B74">
        <w:rPr>
          <w:rFonts w:ascii="Arial" w:hAnsi="Arial" w:cs="Arial"/>
        </w:rPr>
        <w:t xml:space="preserve">PUBLICATION OF AMOUNTS PAID </w:t>
      </w:r>
      <w:r w:rsidR="00481EFF">
        <w:rPr>
          <w:rFonts w:ascii="Arial" w:hAnsi="Arial" w:cs="Arial"/>
        </w:rPr>
        <w:tab/>
      </w:r>
      <w:r w:rsidR="00B3477B">
        <w:rPr>
          <w:rFonts w:ascii="Arial" w:hAnsi="Arial" w:cs="Arial"/>
        </w:rPr>
        <w:t>4</w:t>
      </w:r>
    </w:p>
    <w:p w14:paraId="0BD71D54" w14:textId="77777777" w:rsidR="00484B74" w:rsidRPr="00484B74" w:rsidRDefault="00292E6F" w:rsidP="009B2A18">
      <w:pPr>
        <w:pStyle w:val="Default"/>
        <w:tabs>
          <w:tab w:val="left" w:pos="426"/>
          <w:tab w:val="right" w:leader="dot" w:pos="9356"/>
        </w:tabs>
        <w:ind w:right="-613"/>
        <w:rPr>
          <w:rFonts w:ascii="Arial" w:hAnsi="Arial" w:cs="Arial"/>
        </w:rPr>
      </w:pPr>
      <w:r w:rsidRPr="00484B74">
        <w:rPr>
          <w:rFonts w:ascii="Arial" w:hAnsi="Arial" w:cs="Arial"/>
        </w:rPr>
        <w:t>1</w:t>
      </w:r>
      <w:r w:rsidR="00484B74">
        <w:rPr>
          <w:rFonts w:ascii="Arial" w:hAnsi="Arial" w:cs="Arial"/>
        </w:rPr>
        <w:t>0</w:t>
      </w:r>
      <w:r w:rsidRPr="00484B74">
        <w:rPr>
          <w:rFonts w:ascii="Arial" w:hAnsi="Arial" w:cs="Arial"/>
        </w:rPr>
        <w:t xml:space="preserve"> </w:t>
      </w:r>
      <w:r w:rsidR="00670FB3">
        <w:rPr>
          <w:rFonts w:ascii="Arial" w:hAnsi="Arial" w:cs="Arial"/>
        </w:rPr>
        <w:tab/>
      </w:r>
      <w:r w:rsidR="00484B74">
        <w:rPr>
          <w:rFonts w:ascii="Arial" w:hAnsi="Arial" w:cs="Arial"/>
        </w:rPr>
        <w:t>TRAVEL</w:t>
      </w:r>
      <w:r w:rsidR="00481EFF">
        <w:rPr>
          <w:rFonts w:ascii="Arial" w:hAnsi="Arial" w:cs="Arial"/>
        </w:rPr>
        <w:tab/>
      </w:r>
      <w:r w:rsidR="00B3477B">
        <w:rPr>
          <w:rFonts w:ascii="Arial" w:hAnsi="Arial" w:cs="Arial"/>
        </w:rPr>
        <w:t>4</w:t>
      </w:r>
    </w:p>
    <w:p w14:paraId="568CE486" w14:textId="77777777" w:rsidR="00484B74" w:rsidRPr="00484B74" w:rsidRDefault="00484B74" w:rsidP="009B2A18">
      <w:pPr>
        <w:pStyle w:val="Default"/>
        <w:tabs>
          <w:tab w:val="left" w:pos="426"/>
          <w:tab w:val="right" w:leader="dot" w:pos="9356"/>
        </w:tabs>
        <w:ind w:right="-613"/>
        <w:rPr>
          <w:rFonts w:ascii="Arial" w:hAnsi="Arial" w:cs="Arial"/>
        </w:rPr>
      </w:pPr>
      <w:r w:rsidRPr="00484B74">
        <w:rPr>
          <w:rFonts w:ascii="Arial" w:hAnsi="Arial" w:cs="Arial"/>
        </w:rPr>
        <w:t xml:space="preserve">11 </w:t>
      </w:r>
      <w:r w:rsidR="00670FB3">
        <w:rPr>
          <w:rFonts w:ascii="Arial" w:hAnsi="Arial" w:cs="Arial"/>
        </w:rPr>
        <w:tab/>
      </w:r>
      <w:r w:rsidRPr="00484B74">
        <w:rPr>
          <w:rFonts w:ascii="Arial" w:hAnsi="Arial" w:cs="Arial"/>
        </w:rPr>
        <w:t xml:space="preserve">SUBSISTANCE AND ACCOMMODATION </w:t>
      </w:r>
      <w:r w:rsidR="00481EFF">
        <w:rPr>
          <w:rFonts w:ascii="Arial" w:hAnsi="Arial" w:cs="Arial"/>
        </w:rPr>
        <w:tab/>
      </w:r>
      <w:r w:rsidR="00B3477B">
        <w:rPr>
          <w:rFonts w:ascii="Arial" w:hAnsi="Arial" w:cs="Arial"/>
        </w:rPr>
        <w:t>5</w:t>
      </w:r>
    </w:p>
    <w:p w14:paraId="7627CDAE" w14:textId="77777777" w:rsidR="00484B74" w:rsidRPr="00484B74" w:rsidRDefault="00484B74" w:rsidP="009B2A18">
      <w:pPr>
        <w:pStyle w:val="Default"/>
        <w:tabs>
          <w:tab w:val="left" w:pos="426"/>
          <w:tab w:val="right" w:leader="dot" w:pos="9356"/>
        </w:tabs>
        <w:ind w:right="-613"/>
        <w:rPr>
          <w:rFonts w:ascii="Arial" w:hAnsi="Arial" w:cs="Arial"/>
        </w:rPr>
      </w:pPr>
      <w:r w:rsidRPr="00484B74">
        <w:rPr>
          <w:rFonts w:ascii="Arial" w:hAnsi="Arial" w:cs="Arial"/>
        </w:rPr>
        <w:t xml:space="preserve">12 </w:t>
      </w:r>
      <w:r w:rsidR="00670FB3">
        <w:rPr>
          <w:rFonts w:ascii="Arial" w:hAnsi="Arial" w:cs="Arial"/>
        </w:rPr>
        <w:tab/>
      </w:r>
      <w:r w:rsidRPr="00484B74">
        <w:rPr>
          <w:rFonts w:ascii="Arial" w:hAnsi="Arial" w:cs="Arial"/>
        </w:rPr>
        <w:t xml:space="preserve">CARERS / DEPENDANTS ALLOWANCE </w:t>
      </w:r>
      <w:r w:rsidR="00481EFF">
        <w:rPr>
          <w:rFonts w:ascii="Arial" w:hAnsi="Arial" w:cs="Arial"/>
        </w:rPr>
        <w:tab/>
      </w:r>
      <w:r w:rsidR="00B3477B">
        <w:rPr>
          <w:rFonts w:ascii="Arial" w:hAnsi="Arial" w:cs="Arial"/>
        </w:rPr>
        <w:t>5</w:t>
      </w:r>
    </w:p>
    <w:p w14:paraId="700A86B7" w14:textId="77777777" w:rsidR="00484B74" w:rsidRPr="00484B74" w:rsidRDefault="00484B74" w:rsidP="009B2A18">
      <w:pPr>
        <w:pStyle w:val="Default"/>
        <w:tabs>
          <w:tab w:val="left" w:pos="426"/>
          <w:tab w:val="right" w:leader="dot" w:pos="9356"/>
        </w:tabs>
        <w:ind w:right="-613"/>
        <w:rPr>
          <w:rFonts w:ascii="Arial" w:hAnsi="Arial" w:cs="Arial"/>
        </w:rPr>
      </w:pPr>
      <w:r w:rsidRPr="00484B74">
        <w:rPr>
          <w:rFonts w:ascii="Arial" w:hAnsi="Arial" w:cs="Arial"/>
        </w:rPr>
        <w:t xml:space="preserve">13 </w:t>
      </w:r>
      <w:r w:rsidR="00670FB3">
        <w:rPr>
          <w:rFonts w:ascii="Arial" w:hAnsi="Arial" w:cs="Arial"/>
        </w:rPr>
        <w:tab/>
      </w:r>
      <w:r w:rsidRPr="00484B74">
        <w:rPr>
          <w:rFonts w:ascii="Arial" w:hAnsi="Arial" w:cs="Arial"/>
        </w:rPr>
        <w:t xml:space="preserve">EXCEPTIONAL EXPENSES </w:t>
      </w:r>
      <w:r w:rsidR="00481EFF">
        <w:rPr>
          <w:rFonts w:ascii="Arial" w:hAnsi="Arial" w:cs="Arial"/>
        </w:rPr>
        <w:tab/>
      </w:r>
      <w:r w:rsidR="00B3477B">
        <w:rPr>
          <w:rFonts w:ascii="Arial" w:hAnsi="Arial" w:cs="Arial"/>
        </w:rPr>
        <w:t>5</w:t>
      </w:r>
    </w:p>
    <w:p w14:paraId="5EDF1A15" w14:textId="77777777" w:rsidR="00484B74" w:rsidRPr="00484B74" w:rsidRDefault="00484B74" w:rsidP="009B2A18">
      <w:pPr>
        <w:pStyle w:val="Default"/>
        <w:tabs>
          <w:tab w:val="left" w:pos="426"/>
          <w:tab w:val="right" w:leader="dot" w:pos="9356"/>
        </w:tabs>
        <w:ind w:right="-613"/>
        <w:rPr>
          <w:rFonts w:ascii="Arial" w:hAnsi="Arial" w:cs="Arial"/>
        </w:rPr>
      </w:pPr>
      <w:r w:rsidRPr="00484B74">
        <w:rPr>
          <w:rFonts w:ascii="Arial" w:hAnsi="Arial" w:cs="Arial"/>
        </w:rPr>
        <w:t xml:space="preserve">14 </w:t>
      </w:r>
      <w:r w:rsidR="00670FB3">
        <w:rPr>
          <w:rFonts w:ascii="Arial" w:hAnsi="Arial" w:cs="Arial"/>
        </w:rPr>
        <w:tab/>
      </w:r>
      <w:r w:rsidRPr="00484B74">
        <w:rPr>
          <w:rFonts w:ascii="Arial" w:hAnsi="Arial" w:cs="Arial"/>
        </w:rPr>
        <w:t xml:space="preserve">VARIATION </w:t>
      </w:r>
      <w:r w:rsidR="00481EFF">
        <w:rPr>
          <w:rFonts w:ascii="Arial" w:hAnsi="Arial" w:cs="Arial"/>
        </w:rPr>
        <w:tab/>
      </w:r>
      <w:r w:rsidR="00B3477B">
        <w:rPr>
          <w:rFonts w:ascii="Arial" w:hAnsi="Arial" w:cs="Arial"/>
        </w:rPr>
        <w:t>6</w:t>
      </w:r>
    </w:p>
    <w:p w14:paraId="2FF87E5B" w14:textId="77777777" w:rsidR="00484B74" w:rsidRDefault="00484B74" w:rsidP="009B2A18">
      <w:pPr>
        <w:pStyle w:val="Default"/>
        <w:tabs>
          <w:tab w:val="right" w:leader="dot" w:pos="9214"/>
        </w:tabs>
        <w:ind w:right="-613"/>
        <w:rPr>
          <w:rFonts w:ascii="Arial" w:hAnsi="Arial" w:cs="Arial"/>
        </w:rPr>
      </w:pPr>
    </w:p>
    <w:p w14:paraId="6B144405" w14:textId="77777777" w:rsidR="00484B74" w:rsidRPr="00484B74" w:rsidRDefault="00484B74" w:rsidP="003525CF">
      <w:pPr>
        <w:pStyle w:val="Default"/>
        <w:ind w:right="-613"/>
        <w:rPr>
          <w:rFonts w:ascii="Arial" w:hAnsi="Arial" w:cs="Arial"/>
          <w:b/>
        </w:rPr>
      </w:pPr>
      <w:r w:rsidRPr="00484B74">
        <w:rPr>
          <w:rFonts w:ascii="Arial" w:hAnsi="Arial" w:cs="Arial"/>
          <w:b/>
        </w:rPr>
        <w:t>PART 2 – ALLOWANCES AND EXPENSES FOR SPECIFIC ROLES</w:t>
      </w:r>
    </w:p>
    <w:p w14:paraId="0382614A" w14:textId="77777777" w:rsidR="00484B74" w:rsidRDefault="00484B74" w:rsidP="003525CF">
      <w:pPr>
        <w:pStyle w:val="Default"/>
        <w:ind w:right="-613"/>
        <w:rPr>
          <w:rFonts w:ascii="Arial" w:hAnsi="Arial" w:cs="Arial"/>
        </w:rPr>
      </w:pPr>
    </w:p>
    <w:p w14:paraId="3BDB15E5" w14:textId="77777777" w:rsidR="00484B74" w:rsidRPr="00484B74" w:rsidRDefault="00484B74" w:rsidP="009B2A18">
      <w:pPr>
        <w:pStyle w:val="Default"/>
        <w:tabs>
          <w:tab w:val="left" w:pos="426"/>
          <w:tab w:val="right" w:leader="dot" w:pos="9356"/>
        </w:tabs>
        <w:ind w:left="426" w:right="-613" w:hanging="426"/>
        <w:rPr>
          <w:rFonts w:ascii="Arial" w:hAnsi="Arial" w:cs="Arial"/>
        </w:rPr>
      </w:pPr>
      <w:r w:rsidRPr="00484B74">
        <w:rPr>
          <w:rFonts w:ascii="Arial" w:hAnsi="Arial" w:cs="Arial"/>
        </w:rPr>
        <w:t>15</w:t>
      </w:r>
      <w:r w:rsidR="00670FB3">
        <w:rPr>
          <w:rFonts w:ascii="Arial" w:hAnsi="Arial" w:cs="Arial"/>
        </w:rPr>
        <w:tab/>
      </w:r>
      <w:r w:rsidRPr="00484B74">
        <w:rPr>
          <w:rFonts w:ascii="Arial" w:hAnsi="Arial" w:cs="Arial"/>
        </w:rPr>
        <w:t xml:space="preserve"> AUTHORISED ALLOWANCES AND EXPENSES FOR THE POLICE AND CRIME COMMISSIONER</w:t>
      </w:r>
      <w:r w:rsidR="00481EFF">
        <w:rPr>
          <w:rFonts w:ascii="Arial" w:hAnsi="Arial" w:cs="Arial"/>
        </w:rPr>
        <w:tab/>
      </w:r>
      <w:r w:rsidR="00B3477B">
        <w:rPr>
          <w:rFonts w:ascii="Arial" w:hAnsi="Arial" w:cs="Arial"/>
        </w:rPr>
        <w:t>6</w:t>
      </w:r>
    </w:p>
    <w:p w14:paraId="5EE3CD01" w14:textId="77777777" w:rsidR="008A5287" w:rsidRDefault="00484B74" w:rsidP="009B2A18">
      <w:pPr>
        <w:pStyle w:val="Default"/>
        <w:tabs>
          <w:tab w:val="left" w:pos="426"/>
          <w:tab w:val="right" w:leader="dot" w:pos="9356"/>
        </w:tabs>
        <w:ind w:right="-613"/>
        <w:rPr>
          <w:rFonts w:ascii="Arial" w:hAnsi="Arial" w:cs="Arial"/>
        </w:rPr>
      </w:pPr>
      <w:r w:rsidRPr="00484B74">
        <w:rPr>
          <w:rFonts w:ascii="Arial" w:hAnsi="Arial" w:cs="Arial"/>
        </w:rPr>
        <w:t xml:space="preserve">16 </w:t>
      </w:r>
      <w:r w:rsidR="00670FB3">
        <w:rPr>
          <w:rFonts w:ascii="Arial" w:hAnsi="Arial" w:cs="Arial"/>
        </w:rPr>
        <w:tab/>
      </w:r>
      <w:r w:rsidR="008A5287">
        <w:rPr>
          <w:rFonts w:ascii="Arial" w:hAnsi="Arial" w:cs="Arial"/>
        </w:rPr>
        <w:t>INDEPENDENT ADVISORS TO THE POLICE AND CRIME COMMISSIONER</w:t>
      </w:r>
      <w:r w:rsidR="008A5287">
        <w:rPr>
          <w:rFonts w:ascii="Arial" w:hAnsi="Arial" w:cs="Arial"/>
        </w:rPr>
        <w:tab/>
      </w:r>
      <w:r w:rsidR="009E25EF">
        <w:rPr>
          <w:rFonts w:ascii="Arial" w:hAnsi="Arial" w:cs="Arial"/>
        </w:rPr>
        <w:t>7</w:t>
      </w:r>
    </w:p>
    <w:p w14:paraId="643C7EE5" w14:textId="77777777" w:rsidR="00484B74" w:rsidRDefault="008A5287" w:rsidP="009B2A18">
      <w:pPr>
        <w:pStyle w:val="Default"/>
        <w:tabs>
          <w:tab w:val="left" w:pos="426"/>
          <w:tab w:val="right" w:leader="dot" w:pos="9356"/>
        </w:tabs>
        <w:ind w:right="-472"/>
        <w:rPr>
          <w:rFonts w:ascii="Arial" w:hAnsi="Arial" w:cs="Arial"/>
        </w:rPr>
      </w:pPr>
      <w:r>
        <w:rPr>
          <w:rFonts w:ascii="Arial" w:hAnsi="Arial" w:cs="Arial"/>
        </w:rPr>
        <w:t>17.</w:t>
      </w:r>
      <w:r>
        <w:rPr>
          <w:rFonts w:ascii="Arial" w:hAnsi="Arial" w:cs="Arial"/>
        </w:rPr>
        <w:tab/>
      </w:r>
      <w:r w:rsidR="00292E6F" w:rsidRPr="00484B74">
        <w:rPr>
          <w:rFonts w:ascii="Arial" w:hAnsi="Arial" w:cs="Arial"/>
        </w:rPr>
        <w:t xml:space="preserve">AD HOC PANELS AND EXCEPTIONALLY ONEROUS TASKS </w:t>
      </w:r>
      <w:r w:rsidR="00481EFF">
        <w:rPr>
          <w:rFonts w:ascii="Arial" w:hAnsi="Arial" w:cs="Arial"/>
        </w:rPr>
        <w:tab/>
      </w:r>
      <w:r w:rsidR="00B3477B">
        <w:rPr>
          <w:rFonts w:ascii="Arial" w:hAnsi="Arial" w:cs="Arial"/>
        </w:rPr>
        <w:t>8</w:t>
      </w:r>
    </w:p>
    <w:p w14:paraId="7FDD07BB" w14:textId="77777777" w:rsidR="00484B74" w:rsidRPr="00484B74" w:rsidRDefault="00292E6F" w:rsidP="009B2A18">
      <w:pPr>
        <w:pStyle w:val="Default"/>
        <w:tabs>
          <w:tab w:val="left" w:pos="426"/>
          <w:tab w:val="right" w:leader="dot" w:pos="9356"/>
        </w:tabs>
        <w:ind w:left="426" w:right="-613" w:hanging="426"/>
        <w:rPr>
          <w:rFonts w:ascii="Arial" w:hAnsi="Arial" w:cs="Arial"/>
        </w:rPr>
      </w:pPr>
      <w:r w:rsidRPr="00484B74">
        <w:rPr>
          <w:rFonts w:ascii="Arial" w:hAnsi="Arial" w:cs="Arial"/>
        </w:rPr>
        <w:t>1</w:t>
      </w:r>
      <w:r w:rsidR="008A5287">
        <w:rPr>
          <w:rFonts w:ascii="Arial" w:hAnsi="Arial" w:cs="Arial"/>
        </w:rPr>
        <w:t>8</w:t>
      </w:r>
      <w:r w:rsidRPr="00484B74">
        <w:rPr>
          <w:rFonts w:ascii="Arial" w:hAnsi="Arial" w:cs="Arial"/>
        </w:rPr>
        <w:t xml:space="preserve"> </w:t>
      </w:r>
      <w:r w:rsidR="00670FB3">
        <w:rPr>
          <w:rFonts w:ascii="Arial" w:hAnsi="Arial" w:cs="Arial"/>
        </w:rPr>
        <w:tab/>
      </w:r>
      <w:r w:rsidR="00484B74" w:rsidRPr="00484B74">
        <w:rPr>
          <w:rFonts w:ascii="Arial" w:hAnsi="Arial" w:cs="Arial"/>
        </w:rPr>
        <w:t>INDEPENDENT AND / OR QUALIFIED PEOPLE APPOINTED UNDER STATUTE</w:t>
      </w:r>
      <w:r w:rsidR="00481EFF">
        <w:rPr>
          <w:rFonts w:ascii="Arial" w:hAnsi="Arial" w:cs="Arial"/>
        </w:rPr>
        <w:tab/>
      </w:r>
      <w:r w:rsidR="00B3477B">
        <w:rPr>
          <w:rFonts w:ascii="Arial" w:hAnsi="Arial" w:cs="Arial"/>
        </w:rPr>
        <w:t>8</w:t>
      </w:r>
    </w:p>
    <w:p w14:paraId="5D7E8A64" w14:textId="77777777" w:rsidR="00484B74" w:rsidRPr="00484B74" w:rsidRDefault="00484B74" w:rsidP="009B2A18">
      <w:pPr>
        <w:pStyle w:val="Default"/>
        <w:tabs>
          <w:tab w:val="left" w:pos="426"/>
          <w:tab w:val="right" w:leader="dot" w:pos="9356"/>
        </w:tabs>
        <w:ind w:left="426" w:right="-613" w:hanging="426"/>
        <w:rPr>
          <w:rFonts w:ascii="Arial" w:hAnsi="Arial" w:cs="Arial"/>
        </w:rPr>
      </w:pPr>
      <w:r w:rsidRPr="00484B74">
        <w:rPr>
          <w:rFonts w:ascii="Arial" w:hAnsi="Arial" w:cs="Arial"/>
        </w:rPr>
        <w:t>1</w:t>
      </w:r>
      <w:r w:rsidR="008A5287">
        <w:rPr>
          <w:rFonts w:ascii="Arial" w:hAnsi="Arial" w:cs="Arial"/>
        </w:rPr>
        <w:t>9</w:t>
      </w:r>
      <w:r w:rsidRPr="00484B74">
        <w:rPr>
          <w:rFonts w:ascii="Arial" w:hAnsi="Arial" w:cs="Arial"/>
        </w:rPr>
        <w:t xml:space="preserve"> </w:t>
      </w:r>
      <w:r w:rsidR="00670FB3">
        <w:rPr>
          <w:rFonts w:ascii="Arial" w:hAnsi="Arial" w:cs="Arial"/>
        </w:rPr>
        <w:tab/>
      </w:r>
      <w:r w:rsidRPr="00484B74">
        <w:rPr>
          <w:rFonts w:ascii="Arial" w:hAnsi="Arial" w:cs="Arial"/>
        </w:rPr>
        <w:t>INDEPENDENT COMMITTEE MEMBERS APPOINTED TO FULFIL AUDIT FUNCTIONS</w:t>
      </w:r>
      <w:r w:rsidR="00481EFF">
        <w:rPr>
          <w:rFonts w:ascii="Arial" w:hAnsi="Arial" w:cs="Arial"/>
        </w:rPr>
        <w:tab/>
      </w:r>
      <w:r w:rsidR="00B3477B">
        <w:rPr>
          <w:rFonts w:ascii="Arial" w:hAnsi="Arial" w:cs="Arial"/>
        </w:rPr>
        <w:t>8</w:t>
      </w:r>
    </w:p>
    <w:p w14:paraId="5A90091A" w14:textId="77777777" w:rsidR="00484B74" w:rsidRPr="00484B74" w:rsidRDefault="008A5287" w:rsidP="009B2A18">
      <w:pPr>
        <w:pStyle w:val="Default"/>
        <w:tabs>
          <w:tab w:val="left" w:pos="426"/>
          <w:tab w:val="right" w:leader="dot" w:pos="9356"/>
        </w:tabs>
        <w:ind w:right="-613"/>
        <w:rPr>
          <w:rFonts w:ascii="Arial" w:hAnsi="Arial" w:cs="Arial"/>
        </w:rPr>
      </w:pPr>
      <w:r>
        <w:rPr>
          <w:rFonts w:ascii="Arial" w:hAnsi="Arial" w:cs="Arial"/>
        </w:rPr>
        <w:t>20</w:t>
      </w:r>
      <w:r w:rsidR="00484B74" w:rsidRPr="00484B74">
        <w:rPr>
          <w:rFonts w:ascii="Arial" w:hAnsi="Arial" w:cs="Arial"/>
        </w:rPr>
        <w:t xml:space="preserve"> </w:t>
      </w:r>
      <w:r w:rsidR="00670FB3">
        <w:rPr>
          <w:rFonts w:ascii="Arial" w:hAnsi="Arial" w:cs="Arial"/>
        </w:rPr>
        <w:tab/>
      </w:r>
      <w:r w:rsidR="00484B74" w:rsidRPr="00484B74">
        <w:rPr>
          <w:rFonts w:ascii="Arial" w:hAnsi="Arial" w:cs="Arial"/>
        </w:rPr>
        <w:t xml:space="preserve">COMMUNITY MEMBERS WHO ASSIST WITH THE WORK OF THE PCC </w:t>
      </w:r>
      <w:r w:rsidR="00481EFF">
        <w:rPr>
          <w:rFonts w:ascii="Arial" w:hAnsi="Arial" w:cs="Arial"/>
        </w:rPr>
        <w:tab/>
      </w:r>
      <w:r w:rsidR="00B3477B">
        <w:rPr>
          <w:rFonts w:ascii="Arial" w:hAnsi="Arial" w:cs="Arial"/>
        </w:rPr>
        <w:t>8</w:t>
      </w:r>
    </w:p>
    <w:p w14:paraId="62B9FE10" w14:textId="77777777" w:rsidR="00484B74" w:rsidRDefault="00484B74" w:rsidP="009B2A18">
      <w:pPr>
        <w:pStyle w:val="Default"/>
        <w:tabs>
          <w:tab w:val="left" w:pos="426"/>
          <w:tab w:val="right" w:leader="dot" w:pos="9356"/>
        </w:tabs>
        <w:ind w:right="-613"/>
        <w:rPr>
          <w:rFonts w:ascii="Arial" w:hAnsi="Arial" w:cs="Arial"/>
        </w:rPr>
      </w:pPr>
    </w:p>
    <w:p w14:paraId="1454A0EE" w14:textId="77777777" w:rsidR="00292E6F" w:rsidRPr="00484B74" w:rsidRDefault="00484B74" w:rsidP="009B2A18">
      <w:pPr>
        <w:pStyle w:val="Default"/>
        <w:tabs>
          <w:tab w:val="right" w:leader="dot" w:pos="9356"/>
        </w:tabs>
        <w:ind w:right="-613"/>
        <w:rPr>
          <w:rFonts w:ascii="Arial" w:hAnsi="Arial" w:cs="Arial"/>
          <w:b/>
        </w:rPr>
      </w:pPr>
      <w:r w:rsidRPr="00484B74">
        <w:rPr>
          <w:rFonts w:ascii="Arial" w:hAnsi="Arial" w:cs="Arial"/>
          <w:b/>
        </w:rPr>
        <w:t xml:space="preserve">APPENDICES </w:t>
      </w:r>
      <w:r w:rsidR="008554DA">
        <w:rPr>
          <w:rFonts w:ascii="Arial" w:hAnsi="Arial" w:cs="Arial"/>
          <w:b/>
        </w:rPr>
        <w:t>SCHEMES OF ALLOWANCES</w:t>
      </w:r>
    </w:p>
    <w:p w14:paraId="0DAE7A45" w14:textId="77777777" w:rsidR="00484B74" w:rsidRPr="008554DA" w:rsidRDefault="00484B74" w:rsidP="009B2A18">
      <w:pPr>
        <w:pStyle w:val="Default"/>
        <w:tabs>
          <w:tab w:val="right" w:leader="dot" w:pos="9356"/>
        </w:tabs>
        <w:ind w:right="-613"/>
        <w:rPr>
          <w:rFonts w:ascii="Arial" w:hAnsi="Arial" w:cs="Arial"/>
        </w:rPr>
      </w:pPr>
      <w:proofErr w:type="spellStart"/>
      <w:r>
        <w:rPr>
          <w:rFonts w:ascii="Arial" w:hAnsi="Arial" w:cs="Arial"/>
        </w:rPr>
        <w:t>A</w:t>
      </w:r>
      <w:proofErr w:type="spellEnd"/>
      <w:r w:rsidR="008554DA" w:rsidRPr="008554DA">
        <w:rPr>
          <w:rFonts w:cs="Arial"/>
        </w:rPr>
        <w:t xml:space="preserve"> </w:t>
      </w:r>
      <w:r w:rsidR="008554DA" w:rsidRPr="008554DA">
        <w:rPr>
          <w:rFonts w:ascii="Arial" w:hAnsi="Arial" w:cs="Arial"/>
        </w:rPr>
        <w:t xml:space="preserve">Independent </w:t>
      </w:r>
      <w:r w:rsidR="00546EC8">
        <w:rPr>
          <w:rFonts w:ascii="Arial" w:hAnsi="Arial" w:cs="Arial"/>
        </w:rPr>
        <w:t xml:space="preserve">Advisors to the Police and Crime Commissioner </w:t>
      </w:r>
      <w:r w:rsidR="00546EC8">
        <w:rPr>
          <w:rFonts w:ascii="Arial" w:hAnsi="Arial" w:cs="Arial"/>
        </w:rPr>
        <w:tab/>
      </w:r>
      <w:r w:rsidR="00B3477B">
        <w:rPr>
          <w:rFonts w:ascii="Arial" w:hAnsi="Arial" w:cs="Arial"/>
        </w:rPr>
        <w:t>8</w:t>
      </w:r>
    </w:p>
    <w:p w14:paraId="79955831" w14:textId="77777777" w:rsidR="00546EC8" w:rsidRDefault="00484B74" w:rsidP="009B2A18">
      <w:pPr>
        <w:pStyle w:val="Default"/>
        <w:tabs>
          <w:tab w:val="right" w:leader="dot" w:pos="9356"/>
        </w:tabs>
        <w:ind w:right="-613"/>
        <w:rPr>
          <w:rFonts w:ascii="Arial" w:hAnsi="Arial" w:cs="Arial"/>
        </w:rPr>
      </w:pPr>
      <w:r w:rsidRPr="008554DA">
        <w:rPr>
          <w:rFonts w:ascii="Arial" w:hAnsi="Arial" w:cs="Arial"/>
        </w:rPr>
        <w:t xml:space="preserve">B </w:t>
      </w:r>
      <w:r w:rsidR="00546EC8">
        <w:rPr>
          <w:rFonts w:ascii="Arial" w:hAnsi="Arial" w:cs="Arial"/>
        </w:rPr>
        <w:t>Ad hoc panels and groups</w:t>
      </w:r>
      <w:r w:rsidR="00546EC8">
        <w:rPr>
          <w:rFonts w:ascii="Arial" w:hAnsi="Arial" w:cs="Arial"/>
        </w:rPr>
        <w:tab/>
      </w:r>
      <w:r w:rsidR="009E25EF">
        <w:rPr>
          <w:rFonts w:ascii="Arial" w:hAnsi="Arial" w:cs="Arial"/>
        </w:rPr>
        <w:t>8</w:t>
      </w:r>
    </w:p>
    <w:p w14:paraId="716559AB" w14:textId="77777777" w:rsidR="00546EC8" w:rsidRDefault="00484B74" w:rsidP="009B2A18">
      <w:pPr>
        <w:pStyle w:val="Default"/>
        <w:tabs>
          <w:tab w:val="right" w:leader="dot" w:pos="9356"/>
        </w:tabs>
        <w:ind w:right="-613"/>
        <w:rPr>
          <w:rFonts w:ascii="Arial" w:hAnsi="Arial" w:cs="Arial"/>
        </w:rPr>
      </w:pPr>
      <w:r w:rsidRPr="008554DA">
        <w:rPr>
          <w:rFonts w:ascii="Arial" w:hAnsi="Arial" w:cs="Arial"/>
        </w:rPr>
        <w:t>C</w:t>
      </w:r>
      <w:r w:rsidR="008554DA" w:rsidRPr="008554DA">
        <w:rPr>
          <w:rFonts w:ascii="Arial" w:hAnsi="Arial" w:cs="Arial"/>
        </w:rPr>
        <w:t xml:space="preserve"> </w:t>
      </w:r>
      <w:r w:rsidR="00546EC8">
        <w:rPr>
          <w:rFonts w:ascii="Arial" w:hAnsi="Arial" w:cs="Arial"/>
        </w:rPr>
        <w:t xml:space="preserve">Independent </w:t>
      </w:r>
      <w:r w:rsidR="00546EC8" w:rsidRPr="008554DA">
        <w:rPr>
          <w:rFonts w:ascii="Arial" w:hAnsi="Arial" w:cs="Arial"/>
        </w:rPr>
        <w:t>and / or qualified people appointed under Statute</w:t>
      </w:r>
      <w:r w:rsidR="00546EC8">
        <w:rPr>
          <w:rFonts w:ascii="Arial" w:hAnsi="Arial" w:cs="Arial"/>
        </w:rPr>
        <w:tab/>
        <w:t>9</w:t>
      </w:r>
    </w:p>
    <w:p w14:paraId="582DD75A" w14:textId="77777777" w:rsidR="00546EC8" w:rsidRPr="008554DA" w:rsidRDefault="00546EC8" w:rsidP="009B2A18">
      <w:pPr>
        <w:pStyle w:val="Default"/>
        <w:tabs>
          <w:tab w:val="right" w:leader="dot" w:pos="9356"/>
        </w:tabs>
        <w:ind w:right="-613"/>
        <w:rPr>
          <w:rFonts w:ascii="Arial" w:hAnsi="Arial" w:cs="Arial"/>
        </w:rPr>
      </w:pPr>
      <w:r>
        <w:rPr>
          <w:rFonts w:ascii="Arial" w:hAnsi="Arial" w:cs="Arial"/>
        </w:rPr>
        <w:t>D</w:t>
      </w:r>
      <w:r w:rsidRPr="00546EC8">
        <w:rPr>
          <w:rFonts w:ascii="Arial" w:hAnsi="Arial" w:cs="Arial"/>
        </w:rPr>
        <w:t xml:space="preserve"> </w:t>
      </w:r>
      <w:r w:rsidRPr="008554DA">
        <w:rPr>
          <w:rFonts w:ascii="Arial" w:hAnsi="Arial" w:cs="Arial"/>
        </w:rPr>
        <w:t>Independent Committee members appointed to fulfil audit functions</w:t>
      </w:r>
      <w:r>
        <w:rPr>
          <w:rFonts w:ascii="Arial" w:hAnsi="Arial" w:cs="Arial"/>
        </w:rPr>
        <w:tab/>
        <w:t>9</w:t>
      </w:r>
    </w:p>
    <w:p w14:paraId="71AB76A0" w14:textId="77777777" w:rsidR="00546EC8" w:rsidRDefault="00546EC8" w:rsidP="009B2A18">
      <w:pPr>
        <w:pStyle w:val="Default"/>
        <w:tabs>
          <w:tab w:val="right" w:leader="dot" w:pos="9356"/>
        </w:tabs>
        <w:ind w:right="-613"/>
        <w:rPr>
          <w:rFonts w:ascii="Arial" w:hAnsi="Arial" w:cs="Arial"/>
        </w:rPr>
      </w:pPr>
      <w:r>
        <w:rPr>
          <w:rFonts w:ascii="Arial" w:hAnsi="Arial" w:cs="Arial"/>
        </w:rPr>
        <w:t>E</w:t>
      </w:r>
      <w:r w:rsidRPr="00546EC8">
        <w:rPr>
          <w:rFonts w:ascii="Arial" w:hAnsi="Arial" w:cs="Arial"/>
        </w:rPr>
        <w:t xml:space="preserve"> </w:t>
      </w:r>
      <w:r w:rsidRPr="008554DA">
        <w:rPr>
          <w:rFonts w:ascii="Arial" w:hAnsi="Arial" w:cs="Arial"/>
        </w:rPr>
        <w:t>Community members who assist with the work of the PCC</w:t>
      </w:r>
      <w:r>
        <w:rPr>
          <w:rFonts w:ascii="Arial" w:hAnsi="Arial" w:cs="Arial"/>
        </w:rPr>
        <w:tab/>
        <w:t>9</w:t>
      </w:r>
    </w:p>
    <w:p w14:paraId="59F2DDA5" w14:textId="77777777" w:rsidR="00546EC8" w:rsidRPr="008554DA" w:rsidRDefault="00546EC8" w:rsidP="003525CF">
      <w:pPr>
        <w:pStyle w:val="Default"/>
        <w:tabs>
          <w:tab w:val="right" w:leader="dot" w:pos="8931"/>
        </w:tabs>
        <w:ind w:right="-613"/>
        <w:rPr>
          <w:rFonts w:ascii="Arial" w:hAnsi="Arial" w:cs="Arial"/>
        </w:rPr>
      </w:pPr>
    </w:p>
    <w:p w14:paraId="552DF727" w14:textId="77777777" w:rsidR="00292E6F" w:rsidRDefault="00292E6F" w:rsidP="003525CF">
      <w:pPr>
        <w:ind w:right="-613"/>
        <w:rPr>
          <w:sz w:val="20"/>
          <w:szCs w:val="20"/>
        </w:rPr>
      </w:pPr>
      <w:r>
        <w:rPr>
          <w:sz w:val="20"/>
          <w:szCs w:val="20"/>
        </w:rPr>
        <w:br w:type="page"/>
      </w:r>
    </w:p>
    <w:p w14:paraId="5F6F88CE" w14:textId="77777777" w:rsidR="00292E6F" w:rsidRPr="00DE1F6E" w:rsidRDefault="00200D39" w:rsidP="003525CF">
      <w:pPr>
        <w:ind w:right="-613"/>
        <w:rPr>
          <w:rFonts w:ascii="Arial" w:hAnsi="Arial" w:cs="Arial"/>
          <w:b/>
          <w:sz w:val="32"/>
          <w:szCs w:val="32"/>
        </w:rPr>
      </w:pPr>
      <w:r w:rsidRPr="00DE1F6E">
        <w:rPr>
          <w:rFonts w:ascii="Arial" w:hAnsi="Arial" w:cs="Arial"/>
          <w:b/>
          <w:sz w:val="32"/>
          <w:szCs w:val="32"/>
        </w:rPr>
        <w:lastRenderedPageBreak/>
        <w:t xml:space="preserve">Part 1 </w:t>
      </w:r>
      <w:r w:rsidR="00DE1F6E" w:rsidRPr="00DE1F6E">
        <w:rPr>
          <w:rFonts w:ascii="Arial" w:hAnsi="Arial" w:cs="Arial"/>
          <w:b/>
          <w:sz w:val="32"/>
          <w:szCs w:val="32"/>
        </w:rPr>
        <w:t>–</w:t>
      </w:r>
      <w:r w:rsidRPr="00DE1F6E">
        <w:rPr>
          <w:rFonts w:ascii="Arial" w:hAnsi="Arial" w:cs="Arial"/>
          <w:b/>
          <w:sz w:val="32"/>
          <w:szCs w:val="32"/>
        </w:rPr>
        <w:t xml:space="preserve"> </w:t>
      </w:r>
      <w:r w:rsidR="00DE1F6E" w:rsidRPr="00DE1F6E">
        <w:rPr>
          <w:rFonts w:ascii="Arial" w:hAnsi="Arial" w:cs="Arial"/>
          <w:b/>
          <w:sz w:val="32"/>
          <w:szCs w:val="32"/>
        </w:rPr>
        <w:t>General provisions</w:t>
      </w:r>
    </w:p>
    <w:p w14:paraId="54E0276B" w14:textId="77777777" w:rsidR="00292E6F" w:rsidRDefault="00292E6F" w:rsidP="003525CF">
      <w:pPr>
        <w:pStyle w:val="Subtitle"/>
        <w:numPr>
          <w:ilvl w:val="0"/>
          <w:numId w:val="4"/>
        </w:numPr>
        <w:ind w:right="-613"/>
        <w:rPr>
          <w:rFonts w:cs="Arial"/>
        </w:rPr>
      </w:pPr>
      <w:r>
        <w:rPr>
          <w:rFonts w:cs="Arial"/>
        </w:rPr>
        <w:t>Introduction</w:t>
      </w:r>
    </w:p>
    <w:p w14:paraId="365512E2" w14:textId="77777777" w:rsidR="00292E6F" w:rsidRDefault="00721177" w:rsidP="003525CF">
      <w:pPr>
        <w:pStyle w:val="Subtitle"/>
        <w:ind w:left="360" w:right="-613"/>
        <w:rPr>
          <w:rFonts w:cs="Arial"/>
          <w:b w:val="0"/>
        </w:rPr>
      </w:pPr>
      <w:r>
        <w:rPr>
          <w:rFonts w:cs="Arial"/>
          <w:b w:val="0"/>
        </w:rPr>
        <w:t>The general provisions within this Scheme of Allowances and Expenditure apply</w:t>
      </w:r>
      <w:r w:rsidR="00292E6F">
        <w:rPr>
          <w:rFonts w:cs="Arial"/>
          <w:b w:val="0"/>
        </w:rPr>
        <w:t xml:space="preserve"> to </w:t>
      </w:r>
      <w:r w:rsidR="00DE1F6E">
        <w:rPr>
          <w:rFonts w:cs="Arial"/>
          <w:b w:val="0"/>
        </w:rPr>
        <w:t>t</w:t>
      </w:r>
      <w:r w:rsidR="00292E6F">
        <w:rPr>
          <w:rFonts w:cs="Arial"/>
          <w:b w:val="0"/>
        </w:rPr>
        <w:t>h</w:t>
      </w:r>
      <w:r w:rsidR="008A5287">
        <w:rPr>
          <w:rFonts w:cs="Arial"/>
          <w:b w:val="0"/>
        </w:rPr>
        <w:t xml:space="preserve">e Police and Crime Commissioner, Independent Advisors to the Police and Crime Commissioner, </w:t>
      </w:r>
      <w:r w:rsidR="00292E6F">
        <w:rPr>
          <w:rFonts w:cs="Arial"/>
          <w:b w:val="0"/>
        </w:rPr>
        <w:t>and panel, committee or community member</w:t>
      </w:r>
      <w:r w:rsidR="00FB0997">
        <w:rPr>
          <w:rFonts w:cs="Arial"/>
          <w:b w:val="0"/>
        </w:rPr>
        <w:t>s</w:t>
      </w:r>
      <w:r w:rsidR="00292E6F">
        <w:rPr>
          <w:rFonts w:cs="Arial"/>
          <w:b w:val="0"/>
        </w:rPr>
        <w:t xml:space="preserve"> who ha</w:t>
      </w:r>
      <w:r w:rsidR="00FB0997">
        <w:rPr>
          <w:rFonts w:cs="Arial"/>
          <w:b w:val="0"/>
        </w:rPr>
        <w:t>ve</w:t>
      </w:r>
      <w:r w:rsidR="00292E6F">
        <w:rPr>
          <w:rFonts w:cs="Arial"/>
          <w:b w:val="0"/>
        </w:rPr>
        <w:t xml:space="preserve"> been appointed or selected to assist with the work of the Police and Crime Commissioner. </w:t>
      </w:r>
      <w:r>
        <w:rPr>
          <w:rFonts w:cs="Arial"/>
          <w:b w:val="0"/>
        </w:rPr>
        <w:t>Allowances and expenditure relevant to specific roles are detailed in Part 2</w:t>
      </w:r>
      <w:r w:rsidR="00213E9A">
        <w:rPr>
          <w:rFonts w:cs="Arial"/>
          <w:b w:val="0"/>
        </w:rPr>
        <w:t xml:space="preserve">. </w:t>
      </w:r>
    </w:p>
    <w:p w14:paraId="78C227DD" w14:textId="77777777" w:rsidR="00292E6F" w:rsidRDefault="00292E6F" w:rsidP="003525CF">
      <w:pPr>
        <w:pStyle w:val="Subtitle"/>
        <w:ind w:left="360" w:right="-613"/>
        <w:rPr>
          <w:rFonts w:cs="Arial"/>
          <w:b w:val="0"/>
        </w:rPr>
      </w:pPr>
    </w:p>
    <w:p w14:paraId="4B80393A" w14:textId="77777777" w:rsidR="00292E6F" w:rsidRDefault="00DE1F6E" w:rsidP="003525CF">
      <w:pPr>
        <w:pStyle w:val="Subtitle"/>
        <w:numPr>
          <w:ilvl w:val="0"/>
          <w:numId w:val="12"/>
        </w:numPr>
        <w:ind w:right="-613"/>
        <w:rPr>
          <w:rFonts w:cs="Arial"/>
        </w:rPr>
      </w:pPr>
      <w:r>
        <w:rPr>
          <w:rFonts w:cs="Arial"/>
        </w:rPr>
        <w:t>Purpose</w:t>
      </w:r>
    </w:p>
    <w:p w14:paraId="11204E4C" w14:textId="77777777" w:rsidR="00292E6F" w:rsidRDefault="00292E6F" w:rsidP="003525CF">
      <w:pPr>
        <w:pStyle w:val="Subtitle"/>
        <w:tabs>
          <w:tab w:val="left" w:pos="426"/>
        </w:tabs>
        <w:ind w:left="426" w:right="-613"/>
        <w:rPr>
          <w:rFonts w:cs="Arial"/>
          <w:b w:val="0"/>
        </w:rPr>
      </w:pPr>
      <w:r>
        <w:rPr>
          <w:rFonts w:cs="Arial"/>
          <w:b w:val="0"/>
        </w:rPr>
        <w:t xml:space="preserve">This remuneration scheme aims to enable people from all walks of life to serve the Office of the Police and Crime Commissioner including those with jobs, young people, those from minority ethnic communities and those with caring responsibilities. </w:t>
      </w:r>
    </w:p>
    <w:p w14:paraId="1F68867D" w14:textId="77777777" w:rsidR="00292E6F" w:rsidRDefault="00292E6F" w:rsidP="003525CF">
      <w:pPr>
        <w:pStyle w:val="Subtitle"/>
        <w:tabs>
          <w:tab w:val="left" w:pos="426"/>
        </w:tabs>
        <w:ind w:left="360" w:right="-613"/>
        <w:rPr>
          <w:rFonts w:cs="Arial"/>
          <w:b w:val="0"/>
        </w:rPr>
      </w:pPr>
    </w:p>
    <w:p w14:paraId="07FC2AD4" w14:textId="77777777" w:rsidR="00292E6F" w:rsidRDefault="00292E6F" w:rsidP="003525CF">
      <w:pPr>
        <w:pStyle w:val="Subtitle"/>
        <w:ind w:left="426" w:right="-613"/>
        <w:rPr>
          <w:rFonts w:cs="Arial"/>
          <w:b w:val="0"/>
        </w:rPr>
      </w:pPr>
      <w:r>
        <w:rPr>
          <w:rFonts w:cs="Arial"/>
          <w:b w:val="0"/>
        </w:rPr>
        <w:t xml:space="preserve">Where available, allowances are intended to recognise the time commitment expected of those covered by the policy to enable them to carry out their duties effectively and take account of the public service element of the role in which they have been acting. It is also designed to ensure all those covered by the policy do not sustain as far as possible financial loss in either time commitment or expenditure incurred. </w:t>
      </w:r>
    </w:p>
    <w:p w14:paraId="7003AA14" w14:textId="77777777" w:rsidR="00292E6F" w:rsidRDefault="00292E6F" w:rsidP="003525CF">
      <w:pPr>
        <w:pStyle w:val="Subtitle"/>
        <w:ind w:right="-613"/>
        <w:jc w:val="both"/>
        <w:rPr>
          <w:rFonts w:cs="Arial"/>
          <w:b w:val="0"/>
        </w:rPr>
      </w:pPr>
    </w:p>
    <w:p w14:paraId="57A0C1C4" w14:textId="77777777" w:rsidR="00292E6F" w:rsidRDefault="00DE1F6E" w:rsidP="003525CF">
      <w:pPr>
        <w:pStyle w:val="Subtitle"/>
        <w:numPr>
          <w:ilvl w:val="0"/>
          <w:numId w:val="12"/>
        </w:numPr>
        <w:ind w:right="-613"/>
        <w:rPr>
          <w:rFonts w:cs="Arial"/>
        </w:rPr>
      </w:pPr>
      <w:r>
        <w:rPr>
          <w:rFonts w:cs="Arial"/>
        </w:rPr>
        <w:t>Election not to receive payment</w:t>
      </w:r>
    </w:p>
    <w:p w14:paraId="4D3669D3" w14:textId="77777777" w:rsidR="00292E6F" w:rsidRDefault="00292E6F" w:rsidP="003525CF">
      <w:pPr>
        <w:pStyle w:val="Subtitle"/>
        <w:ind w:left="360" w:right="-613"/>
        <w:rPr>
          <w:rFonts w:cs="Arial"/>
          <w:b w:val="0"/>
        </w:rPr>
      </w:pPr>
      <w:r>
        <w:rPr>
          <w:rFonts w:cs="Arial"/>
          <w:b w:val="0"/>
        </w:rPr>
        <w:t>Any person covered by this policy may notify the Chief Executive in writing that they elect to forego all or part of any allowance or reimbursement.</w:t>
      </w:r>
    </w:p>
    <w:p w14:paraId="3B869387" w14:textId="77777777" w:rsidR="00292E6F" w:rsidRDefault="00292E6F" w:rsidP="003525CF">
      <w:pPr>
        <w:pStyle w:val="Subtitle"/>
        <w:ind w:left="360" w:right="-613"/>
        <w:rPr>
          <w:rFonts w:cs="Arial"/>
          <w:b w:val="0"/>
        </w:rPr>
      </w:pPr>
    </w:p>
    <w:p w14:paraId="34D66DA6" w14:textId="77777777" w:rsidR="00292E6F" w:rsidRDefault="00292E6F" w:rsidP="003525CF">
      <w:pPr>
        <w:pStyle w:val="Subtitle"/>
        <w:numPr>
          <w:ilvl w:val="0"/>
          <w:numId w:val="12"/>
        </w:numPr>
        <w:ind w:right="-613"/>
        <w:rPr>
          <w:rFonts w:cs="Arial"/>
        </w:rPr>
      </w:pPr>
      <w:r>
        <w:rPr>
          <w:rFonts w:cs="Arial"/>
        </w:rPr>
        <w:t>Up-rating of Allowances</w:t>
      </w:r>
    </w:p>
    <w:p w14:paraId="21393759" w14:textId="77777777" w:rsidR="00D1734A" w:rsidRDefault="00D1734A" w:rsidP="003525CF">
      <w:pPr>
        <w:pStyle w:val="Subtitle"/>
        <w:ind w:left="360" w:right="-613"/>
        <w:rPr>
          <w:rFonts w:cs="Arial"/>
          <w:b w:val="0"/>
        </w:rPr>
      </w:pPr>
      <w:r>
        <w:rPr>
          <w:rFonts w:cs="Arial"/>
          <w:b w:val="0"/>
        </w:rPr>
        <w:t xml:space="preserve">Up-rating of exceptional allowances paid to the Police and Crime Commissioner (where applicable) will be reviewed annually by the Chief Executive. </w:t>
      </w:r>
    </w:p>
    <w:p w14:paraId="2B0D1418" w14:textId="77777777" w:rsidR="00D1734A" w:rsidRDefault="00D1734A" w:rsidP="003525CF">
      <w:pPr>
        <w:pStyle w:val="Subtitle"/>
        <w:ind w:left="360" w:right="-613"/>
        <w:rPr>
          <w:rFonts w:cs="Arial"/>
          <w:b w:val="0"/>
        </w:rPr>
      </w:pPr>
    </w:p>
    <w:p w14:paraId="2FC8B07D" w14:textId="77777777" w:rsidR="00AB46A0" w:rsidRDefault="00D1734A" w:rsidP="003525CF">
      <w:pPr>
        <w:pStyle w:val="Subtitle"/>
        <w:ind w:left="360" w:right="-613"/>
        <w:rPr>
          <w:rFonts w:cs="Arial"/>
          <w:b w:val="0"/>
        </w:rPr>
      </w:pPr>
      <w:r>
        <w:rPr>
          <w:rFonts w:cs="Arial"/>
          <w:b w:val="0"/>
        </w:rPr>
        <w:t xml:space="preserve">Where an allowance is payable to any </w:t>
      </w:r>
      <w:r w:rsidR="008A5287">
        <w:rPr>
          <w:rFonts w:cs="Arial"/>
          <w:b w:val="0"/>
        </w:rPr>
        <w:t xml:space="preserve">Independent Advisor, </w:t>
      </w:r>
      <w:r>
        <w:rPr>
          <w:rFonts w:cs="Arial"/>
          <w:b w:val="0"/>
        </w:rPr>
        <w:t>panel, committee</w:t>
      </w:r>
      <w:r w:rsidR="00A953A0">
        <w:rPr>
          <w:rFonts w:cs="Arial"/>
          <w:b w:val="0"/>
        </w:rPr>
        <w:t xml:space="preserve">, </w:t>
      </w:r>
      <w:r>
        <w:rPr>
          <w:rFonts w:cs="Arial"/>
          <w:b w:val="0"/>
        </w:rPr>
        <w:t xml:space="preserve">or community member who has been appointed or selected to assist with the work of the Police and Crime Commissioner, up-rating of allowances will be undertaken as specified within the scheme of allowances </w:t>
      </w:r>
      <w:r w:rsidR="00A953A0">
        <w:rPr>
          <w:rFonts w:cs="Arial"/>
          <w:b w:val="0"/>
        </w:rPr>
        <w:t xml:space="preserve">or terms of reference </w:t>
      </w:r>
      <w:r w:rsidR="008A5287">
        <w:rPr>
          <w:rFonts w:cs="Arial"/>
          <w:b w:val="0"/>
        </w:rPr>
        <w:t xml:space="preserve">applicable to Independent Advisors, the </w:t>
      </w:r>
      <w:r>
        <w:rPr>
          <w:rFonts w:cs="Arial"/>
          <w:b w:val="0"/>
        </w:rPr>
        <w:t xml:space="preserve">panel, committee or </w:t>
      </w:r>
      <w:r w:rsidR="00A953A0">
        <w:rPr>
          <w:rFonts w:cs="Arial"/>
          <w:b w:val="0"/>
        </w:rPr>
        <w:t>project / initiative</w:t>
      </w:r>
      <w:r w:rsidR="00AB46A0">
        <w:rPr>
          <w:rFonts w:cs="Arial"/>
          <w:b w:val="0"/>
        </w:rPr>
        <w:t xml:space="preserve"> to which a community member has been selected or appointed</w:t>
      </w:r>
      <w:r w:rsidR="00DE1F6E">
        <w:rPr>
          <w:rFonts w:cs="Arial"/>
          <w:b w:val="0"/>
        </w:rPr>
        <w:t xml:space="preserve"> as detailed in the appendices</w:t>
      </w:r>
      <w:r w:rsidR="00AB46A0">
        <w:rPr>
          <w:rFonts w:cs="Arial"/>
          <w:b w:val="0"/>
        </w:rPr>
        <w:t xml:space="preserve">.  </w:t>
      </w:r>
      <w:r w:rsidR="00721177">
        <w:rPr>
          <w:rFonts w:cs="Arial"/>
          <w:b w:val="0"/>
        </w:rPr>
        <w:t xml:space="preserve">Where up-rating is not specified in the scheme of allowances or terms of references, an annual review will be undertaken by the Chief Executive. </w:t>
      </w:r>
    </w:p>
    <w:p w14:paraId="41278819" w14:textId="77777777" w:rsidR="00292E6F" w:rsidRDefault="00292E6F" w:rsidP="003525CF">
      <w:pPr>
        <w:pStyle w:val="Subtitle"/>
        <w:ind w:right="-613"/>
        <w:rPr>
          <w:rFonts w:cs="Arial"/>
          <w:b w:val="0"/>
        </w:rPr>
      </w:pPr>
    </w:p>
    <w:p w14:paraId="249CF502" w14:textId="77777777" w:rsidR="00292E6F" w:rsidRDefault="00292E6F" w:rsidP="003525CF">
      <w:pPr>
        <w:pStyle w:val="Subtitle"/>
        <w:numPr>
          <w:ilvl w:val="0"/>
          <w:numId w:val="12"/>
        </w:numPr>
        <w:ind w:right="-613"/>
        <w:rPr>
          <w:rFonts w:cs="Arial"/>
        </w:rPr>
      </w:pPr>
      <w:r>
        <w:rPr>
          <w:rFonts w:cs="Arial"/>
        </w:rPr>
        <w:t>Up-rating of Reimbursements</w:t>
      </w:r>
    </w:p>
    <w:p w14:paraId="347023F8" w14:textId="77777777" w:rsidR="00292E6F" w:rsidRDefault="00292E6F" w:rsidP="003525CF">
      <w:pPr>
        <w:pStyle w:val="Subtitle"/>
        <w:ind w:left="360" w:right="-613"/>
        <w:rPr>
          <w:rFonts w:cs="Arial"/>
        </w:rPr>
      </w:pPr>
    </w:p>
    <w:p w14:paraId="4D20BD8E" w14:textId="77777777" w:rsidR="00292E6F" w:rsidRDefault="00292E6F" w:rsidP="003525CF">
      <w:pPr>
        <w:pStyle w:val="Subtitle"/>
        <w:ind w:left="360" w:right="-613"/>
        <w:rPr>
          <w:rFonts w:cs="Arial"/>
          <w:b w:val="0"/>
        </w:rPr>
      </w:pPr>
      <w:r>
        <w:rPr>
          <w:rFonts w:cs="Arial"/>
          <w:b w:val="0"/>
        </w:rPr>
        <w:t xml:space="preserve">Car Travel. </w:t>
      </w:r>
    </w:p>
    <w:p w14:paraId="7C14CFF7" w14:textId="77777777" w:rsidR="00292E6F" w:rsidRDefault="00292E6F" w:rsidP="003525CF">
      <w:pPr>
        <w:pStyle w:val="Subtitle"/>
        <w:ind w:left="360" w:right="-613"/>
        <w:rPr>
          <w:rFonts w:cs="Arial"/>
          <w:b w:val="0"/>
        </w:rPr>
      </w:pPr>
    </w:p>
    <w:p w14:paraId="457B3FB3" w14:textId="77777777" w:rsidR="00292E6F" w:rsidRDefault="00292E6F" w:rsidP="003525CF">
      <w:pPr>
        <w:pStyle w:val="Subtitle"/>
        <w:ind w:left="360" w:right="-613"/>
        <w:rPr>
          <w:rFonts w:cs="Arial"/>
          <w:b w:val="0"/>
        </w:rPr>
      </w:pPr>
      <w:r>
        <w:rPr>
          <w:rFonts w:cs="Arial"/>
          <w:b w:val="0"/>
        </w:rPr>
        <w:t xml:space="preserve">The rates of reimbursement for car and other forms of travel will be those notified from time to time by the HMRC and will be subject to up-rating in accordance with any changes made by the HMRC. </w:t>
      </w:r>
    </w:p>
    <w:p w14:paraId="2447915E" w14:textId="77777777" w:rsidR="00292E6F" w:rsidRDefault="00292E6F" w:rsidP="003525CF">
      <w:pPr>
        <w:pStyle w:val="Subtitle"/>
        <w:ind w:left="360" w:right="-613"/>
        <w:rPr>
          <w:rFonts w:cs="Arial"/>
          <w:b w:val="0"/>
        </w:rPr>
      </w:pPr>
    </w:p>
    <w:p w14:paraId="68A086BB" w14:textId="77777777" w:rsidR="00292E6F" w:rsidRDefault="00292E6F" w:rsidP="003525CF">
      <w:pPr>
        <w:pStyle w:val="Subtitle"/>
        <w:ind w:left="360" w:right="-613"/>
        <w:rPr>
          <w:rFonts w:cs="Arial"/>
          <w:b w:val="0"/>
        </w:rPr>
      </w:pPr>
      <w:r>
        <w:rPr>
          <w:rFonts w:cs="Arial"/>
          <w:b w:val="0"/>
        </w:rPr>
        <w:t xml:space="preserve">Carers Allowance </w:t>
      </w:r>
    </w:p>
    <w:p w14:paraId="715DADFD" w14:textId="77777777" w:rsidR="00292E6F" w:rsidRDefault="00292E6F" w:rsidP="003525CF">
      <w:pPr>
        <w:pStyle w:val="Subtitle"/>
        <w:ind w:left="360" w:right="-613"/>
        <w:rPr>
          <w:rFonts w:cs="Arial"/>
          <w:b w:val="0"/>
        </w:rPr>
      </w:pPr>
    </w:p>
    <w:p w14:paraId="31E8BEFE" w14:textId="77777777" w:rsidR="00292E6F" w:rsidRDefault="00DE1F6E" w:rsidP="003525CF">
      <w:pPr>
        <w:pStyle w:val="Subtitle"/>
        <w:ind w:left="360" w:right="-613"/>
        <w:rPr>
          <w:rFonts w:cs="Arial"/>
          <w:b w:val="0"/>
        </w:rPr>
      </w:pPr>
      <w:r>
        <w:rPr>
          <w:rFonts w:cs="Arial"/>
          <w:b w:val="0"/>
        </w:rPr>
        <w:t>The c</w:t>
      </w:r>
      <w:r w:rsidR="00292E6F">
        <w:rPr>
          <w:rFonts w:cs="Arial"/>
          <w:b w:val="0"/>
        </w:rPr>
        <w:t xml:space="preserve">arers </w:t>
      </w:r>
      <w:r>
        <w:rPr>
          <w:rFonts w:cs="Arial"/>
          <w:b w:val="0"/>
        </w:rPr>
        <w:t>a</w:t>
      </w:r>
      <w:r w:rsidR="00292E6F">
        <w:rPr>
          <w:rFonts w:cs="Arial"/>
          <w:b w:val="0"/>
        </w:rPr>
        <w:t>llowance will be up-dated annually in line with any pay award agreed for Police Staff (this is usually effective from 1 September)</w:t>
      </w:r>
    </w:p>
    <w:p w14:paraId="48F3E852" w14:textId="77777777" w:rsidR="00292E6F" w:rsidRDefault="00292E6F" w:rsidP="003525CF">
      <w:pPr>
        <w:pStyle w:val="Subtitle"/>
        <w:ind w:right="-613"/>
        <w:rPr>
          <w:rFonts w:cs="Arial"/>
          <w:b w:val="0"/>
        </w:rPr>
      </w:pPr>
    </w:p>
    <w:p w14:paraId="502467A8" w14:textId="77777777" w:rsidR="00292E6F" w:rsidRDefault="00292E6F" w:rsidP="003525CF">
      <w:pPr>
        <w:pStyle w:val="Subtitle"/>
        <w:numPr>
          <w:ilvl w:val="0"/>
          <w:numId w:val="12"/>
        </w:numPr>
        <w:ind w:right="-613"/>
        <w:rPr>
          <w:rFonts w:cs="Arial"/>
        </w:rPr>
      </w:pPr>
      <w:r>
        <w:rPr>
          <w:rFonts w:cs="Arial"/>
        </w:rPr>
        <w:lastRenderedPageBreak/>
        <w:t xml:space="preserve">Payment of allowance and expenses  </w:t>
      </w:r>
    </w:p>
    <w:p w14:paraId="1FA97804" w14:textId="77777777" w:rsidR="00292E6F" w:rsidRDefault="00292E6F" w:rsidP="003525CF">
      <w:pPr>
        <w:pStyle w:val="Subtitle"/>
        <w:ind w:left="360" w:right="-613"/>
        <w:rPr>
          <w:rFonts w:cs="Arial"/>
          <w:b w:val="0"/>
        </w:rPr>
      </w:pPr>
      <w:r>
        <w:rPr>
          <w:rFonts w:cs="Arial"/>
          <w:b w:val="0"/>
        </w:rPr>
        <w:t xml:space="preserve">Reimbursement of allowance (where payable) and expenditure is made by the submission of an official claim form.  Payments are made direct to the recipient’s bank account. </w:t>
      </w:r>
    </w:p>
    <w:p w14:paraId="436DFF14" w14:textId="77777777" w:rsidR="00292E6F" w:rsidRDefault="00292E6F" w:rsidP="003525CF">
      <w:pPr>
        <w:pStyle w:val="Subtitle"/>
        <w:ind w:right="-613"/>
        <w:rPr>
          <w:rFonts w:cs="Arial"/>
          <w:b w:val="0"/>
        </w:rPr>
      </w:pPr>
    </w:p>
    <w:p w14:paraId="6DDF82FF" w14:textId="77777777" w:rsidR="00292E6F" w:rsidRDefault="00DE1F6E" w:rsidP="003525CF">
      <w:pPr>
        <w:pStyle w:val="Subtitle"/>
        <w:numPr>
          <w:ilvl w:val="0"/>
          <w:numId w:val="12"/>
        </w:numPr>
        <w:ind w:right="-613"/>
        <w:rPr>
          <w:rFonts w:cs="Arial"/>
        </w:rPr>
      </w:pPr>
      <w:r>
        <w:rPr>
          <w:rFonts w:cs="Arial"/>
        </w:rPr>
        <w:t>Repayment of a</w:t>
      </w:r>
      <w:r w:rsidR="00292E6F">
        <w:rPr>
          <w:rFonts w:cs="Arial"/>
        </w:rPr>
        <w:t>llowances</w:t>
      </w:r>
    </w:p>
    <w:p w14:paraId="32B15D95" w14:textId="77777777" w:rsidR="00292E6F" w:rsidRDefault="00292E6F" w:rsidP="003525CF">
      <w:pPr>
        <w:pStyle w:val="Subtitle"/>
        <w:ind w:left="360" w:right="-613"/>
        <w:rPr>
          <w:rFonts w:cs="Arial"/>
          <w:b w:val="0"/>
        </w:rPr>
      </w:pPr>
      <w:r>
        <w:rPr>
          <w:rFonts w:cs="Arial"/>
          <w:b w:val="0"/>
        </w:rPr>
        <w:t xml:space="preserve">Where a payment of any allowance has been made in respect of any period during which the recipient was not entitled to receive the allowance the Office of the Police and Crime Commissioner may require repayment of that allowance for the period concerned. </w:t>
      </w:r>
    </w:p>
    <w:p w14:paraId="595FFB2A" w14:textId="77777777" w:rsidR="00292E6F" w:rsidRDefault="00292E6F" w:rsidP="003525CF">
      <w:pPr>
        <w:pStyle w:val="Subtitle"/>
        <w:ind w:right="-613"/>
        <w:rPr>
          <w:rFonts w:cs="Arial"/>
          <w:b w:val="0"/>
        </w:rPr>
      </w:pPr>
    </w:p>
    <w:p w14:paraId="52335286" w14:textId="77777777" w:rsidR="00292E6F" w:rsidRDefault="00292E6F" w:rsidP="003525CF">
      <w:pPr>
        <w:pStyle w:val="Subtitle"/>
        <w:numPr>
          <w:ilvl w:val="0"/>
          <w:numId w:val="12"/>
        </w:numPr>
        <w:ind w:right="-613"/>
        <w:rPr>
          <w:rFonts w:cs="Arial"/>
        </w:rPr>
      </w:pPr>
      <w:r>
        <w:rPr>
          <w:rFonts w:cs="Arial"/>
        </w:rPr>
        <w:t>Taxation</w:t>
      </w:r>
    </w:p>
    <w:p w14:paraId="15F1B779" w14:textId="77777777" w:rsidR="00292E6F" w:rsidRDefault="00292E6F" w:rsidP="003525CF">
      <w:pPr>
        <w:pStyle w:val="Subtitle"/>
        <w:ind w:left="360" w:right="-613"/>
        <w:jc w:val="both"/>
        <w:rPr>
          <w:rFonts w:cs="Arial"/>
          <w:b w:val="0"/>
        </w:rPr>
      </w:pPr>
      <w:r>
        <w:rPr>
          <w:rFonts w:cs="Arial"/>
          <w:b w:val="0"/>
        </w:rPr>
        <w:t xml:space="preserve">Payments made under this scheme may be subject to tax and National Insurance contributions. Each person receiving an allowance should satisfy themselves that their tax and insurance arrangements are in order. </w:t>
      </w:r>
    </w:p>
    <w:p w14:paraId="751859CC" w14:textId="77777777" w:rsidR="00292E6F" w:rsidRDefault="00292E6F" w:rsidP="003525CF">
      <w:pPr>
        <w:pStyle w:val="Subtitle"/>
        <w:ind w:left="360" w:right="-613"/>
        <w:jc w:val="both"/>
        <w:rPr>
          <w:rFonts w:cs="Arial"/>
          <w:b w:val="0"/>
        </w:rPr>
      </w:pPr>
    </w:p>
    <w:p w14:paraId="4239D3D5" w14:textId="77777777" w:rsidR="00292E6F" w:rsidRDefault="00292E6F" w:rsidP="003525CF">
      <w:pPr>
        <w:pStyle w:val="Subtitle"/>
        <w:numPr>
          <w:ilvl w:val="0"/>
          <w:numId w:val="12"/>
        </w:numPr>
        <w:ind w:right="-613"/>
        <w:rPr>
          <w:rFonts w:cs="Arial"/>
        </w:rPr>
      </w:pPr>
      <w:r>
        <w:rPr>
          <w:rFonts w:cs="Arial"/>
        </w:rPr>
        <w:t xml:space="preserve">Publication of </w:t>
      </w:r>
      <w:r w:rsidR="00DE1F6E">
        <w:rPr>
          <w:rFonts w:cs="Arial"/>
        </w:rPr>
        <w:t>a</w:t>
      </w:r>
      <w:r>
        <w:rPr>
          <w:rFonts w:cs="Arial"/>
        </w:rPr>
        <w:t xml:space="preserve">mounts </w:t>
      </w:r>
      <w:r w:rsidR="00DE1F6E">
        <w:rPr>
          <w:rFonts w:cs="Arial"/>
        </w:rPr>
        <w:t>p</w:t>
      </w:r>
      <w:r>
        <w:rPr>
          <w:rFonts w:cs="Arial"/>
        </w:rPr>
        <w:t xml:space="preserve">aid </w:t>
      </w:r>
    </w:p>
    <w:p w14:paraId="3F805B6F" w14:textId="77777777" w:rsidR="00292E6F" w:rsidRDefault="00292E6F" w:rsidP="003525CF">
      <w:pPr>
        <w:pStyle w:val="Subtitle"/>
        <w:ind w:left="360" w:right="-613"/>
        <w:rPr>
          <w:rFonts w:cs="Arial"/>
          <w:b w:val="0"/>
        </w:rPr>
      </w:pPr>
      <w:r>
        <w:rPr>
          <w:rFonts w:cs="Arial"/>
          <w:b w:val="0"/>
        </w:rPr>
        <w:t xml:space="preserve">In accordance with the Elected Local Policing Bodies (Specified Information) Order 2011, the Office of the Police and Crime Commissioner will publish on its website the amounts of allowances and reimbursements paid to relevant individuals. </w:t>
      </w:r>
    </w:p>
    <w:p w14:paraId="3A408EFC" w14:textId="77777777" w:rsidR="00213E9A" w:rsidRDefault="00213E9A" w:rsidP="003525CF">
      <w:pPr>
        <w:pStyle w:val="Subtitle"/>
        <w:ind w:left="360" w:right="-613"/>
        <w:rPr>
          <w:rFonts w:cs="Arial"/>
          <w:b w:val="0"/>
        </w:rPr>
      </w:pPr>
    </w:p>
    <w:p w14:paraId="59BA3555" w14:textId="77777777" w:rsidR="00213E9A" w:rsidRDefault="00213E9A" w:rsidP="003525CF">
      <w:pPr>
        <w:pStyle w:val="Subtitle"/>
        <w:numPr>
          <w:ilvl w:val="0"/>
          <w:numId w:val="19"/>
        </w:numPr>
        <w:ind w:right="-613"/>
        <w:rPr>
          <w:rFonts w:cs="Arial"/>
        </w:rPr>
      </w:pPr>
      <w:r>
        <w:rPr>
          <w:rFonts w:cs="Arial"/>
        </w:rPr>
        <w:t>Travel</w:t>
      </w:r>
    </w:p>
    <w:p w14:paraId="579CEB46" w14:textId="77777777" w:rsidR="00213E9A" w:rsidRDefault="00213E9A" w:rsidP="003525CF">
      <w:pPr>
        <w:pStyle w:val="Subtitle"/>
        <w:ind w:left="360" w:right="-613"/>
        <w:rPr>
          <w:rFonts w:cs="Arial"/>
          <w:b w:val="0"/>
        </w:rPr>
      </w:pPr>
      <w:r>
        <w:rPr>
          <w:rFonts w:cs="Arial"/>
          <w:b w:val="0"/>
        </w:rPr>
        <w:t xml:space="preserve">Claimants are encouraged to use the most practical, economic and sustainable method of travel available for the journey to be undertaken. Use of rail and bus passes is strongly encouraged. The cost of a taxi will be reimbursed but only when public transport is not available. The Office of The Police and Crime Commissioner will </w:t>
      </w:r>
      <w:r w:rsidR="00DE1F6E">
        <w:rPr>
          <w:rFonts w:cs="Arial"/>
          <w:b w:val="0"/>
        </w:rPr>
        <w:t>prearrange</w:t>
      </w:r>
      <w:r>
        <w:rPr>
          <w:rFonts w:cs="Arial"/>
          <w:b w:val="0"/>
        </w:rPr>
        <w:t xml:space="preserve"> public transport where possible. </w:t>
      </w:r>
    </w:p>
    <w:p w14:paraId="39FABDC3" w14:textId="77777777" w:rsidR="00213E9A" w:rsidRDefault="00213E9A" w:rsidP="003525CF">
      <w:pPr>
        <w:pStyle w:val="Subtitle"/>
        <w:ind w:left="360" w:right="-613"/>
        <w:rPr>
          <w:rFonts w:cs="Arial"/>
          <w:b w:val="0"/>
        </w:rPr>
      </w:pPr>
    </w:p>
    <w:p w14:paraId="634EB9CE" w14:textId="77777777" w:rsidR="00213E9A" w:rsidRDefault="00213E9A" w:rsidP="003525CF">
      <w:pPr>
        <w:pStyle w:val="Subtitle"/>
        <w:ind w:right="-613"/>
        <w:rPr>
          <w:rFonts w:cs="Arial"/>
          <w:b w:val="0"/>
        </w:rPr>
      </w:pPr>
      <w:r>
        <w:rPr>
          <w:rFonts w:cs="Arial"/>
          <w:b w:val="0"/>
        </w:rPr>
        <w:t>10.1</w:t>
      </w:r>
      <w:r>
        <w:rPr>
          <w:rFonts w:cs="Arial"/>
          <w:b w:val="0"/>
        </w:rPr>
        <w:tab/>
        <w:t>Reimbursement for car travel</w:t>
      </w:r>
    </w:p>
    <w:p w14:paraId="5E3AF71D" w14:textId="77777777" w:rsidR="00213E9A" w:rsidRDefault="00213E9A" w:rsidP="003525CF">
      <w:pPr>
        <w:pStyle w:val="Subtitle"/>
        <w:ind w:left="360" w:right="-613"/>
        <w:rPr>
          <w:rFonts w:cs="Arial"/>
          <w:b w:val="0"/>
        </w:rPr>
      </w:pPr>
      <w:r>
        <w:rPr>
          <w:rFonts w:cs="Arial"/>
          <w:b w:val="0"/>
        </w:rPr>
        <w:t xml:space="preserve">Mileage will be reimbursed in accordance with the rates set by HMRC when an individual’s own car is used for travel on official business. </w:t>
      </w:r>
    </w:p>
    <w:p w14:paraId="1727073A" w14:textId="77777777" w:rsidR="00213E9A" w:rsidRDefault="00213E9A" w:rsidP="003525CF">
      <w:pPr>
        <w:pStyle w:val="Subtitle"/>
        <w:ind w:right="-613"/>
        <w:rPr>
          <w:rFonts w:cs="Arial"/>
        </w:rPr>
      </w:pPr>
    </w:p>
    <w:p w14:paraId="4F4D00EE" w14:textId="77777777" w:rsidR="00213E9A" w:rsidRDefault="00213E9A" w:rsidP="003525CF">
      <w:pPr>
        <w:pStyle w:val="NormalWeb"/>
        <w:shd w:val="clear" w:color="auto" w:fill="FFFFFF"/>
        <w:spacing w:before="0" w:beforeAutospacing="0" w:after="0" w:afterAutospacing="0"/>
        <w:ind w:left="360" w:right="-613"/>
        <w:rPr>
          <w:rFonts w:ascii="Arial" w:hAnsi="Arial" w:cs="Arial"/>
          <w:color w:val="000000"/>
        </w:rPr>
      </w:pPr>
      <w:r>
        <w:rPr>
          <w:rFonts w:ascii="Arial" w:hAnsi="Arial" w:cs="Arial"/>
          <w:color w:val="000000"/>
        </w:rPr>
        <w:t xml:space="preserve">An additional 5p per passenger per business mile will be paid for carrying other people in a car or van on journeys which are also relevant work related journeys for them.  Relevant work means an official duty in support of the Office of the Police and Crime Commissioner.  </w:t>
      </w:r>
    </w:p>
    <w:p w14:paraId="58298187" w14:textId="77777777" w:rsidR="00213E9A" w:rsidRDefault="00213E9A" w:rsidP="003525CF">
      <w:pPr>
        <w:pStyle w:val="NormalWeb"/>
        <w:shd w:val="clear" w:color="auto" w:fill="FFFFFF"/>
        <w:spacing w:before="0" w:beforeAutospacing="0" w:after="0" w:afterAutospacing="0"/>
        <w:ind w:left="360" w:right="-613"/>
        <w:rPr>
          <w:rFonts w:ascii="Arial" w:hAnsi="Arial" w:cs="Arial"/>
          <w:color w:val="000000"/>
        </w:rPr>
      </w:pPr>
    </w:p>
    <w:p w14:paraId="4B5AF46E" w14:textId="77777777" w:rsidR="00213E9A" w:rsidRPr="00213E9A" w:rsidRDefault="00213E9A" w:rsidP="003525CF">
      <w:pPr>
        <w:ind w:left="426" w:right="-613"/>
        <w:rPr>
          <w:rFonts w:ascii="Arial" w:hAnsi="Arial" w:cs="Arial"/>
          <w:sz w:val="24"/>
          <w:szCs w:val="24"/>
        </w:rPr>
      </w:pPr>
      <w:r w:rsidRPr="00213E9A">
        <w:rPr>
          <w:rFonts w:ascii="Arial" w:hAnsi="Arial" w:cs="Arial"/>
          <w:sz w:val="24"/>
          <w:szCs w:val="24"/>
        </w:rPr>
        <w:t xml:space="preserve">Anyone using their </w:t>
      </w:r>
      <w:r w:rsidR="00DE1F6E">
        <w:rPr>
          <w:rFonts w:ascii="Arial" w:hAnsi="Arial" w:cs="Arial"/>
          <w:sz w:val="24"/>
          <w:szCs w:val="24"/>
        </w:rPr>
        <w:t xml:space="preserve">own vehicle for </w:t>
      </w:r>
      <w:r w:rsidRPr="00213E9A">
        <w:rPr>
          <w:rFonts w:ascii="Arial" w:hAnsi="Arial" w:cs="Arial"/>
          <w:sz w:val="24"/>
          <w:szCs w:val="24"/>
        </w:rPr>
        <w:t>Office of The Police and Crime Commissioner business is responsible for ensuring that they have appropriate insurance cover</w:t>
      </w:r>
      <w:r>
        <w:rPr>
          <w:rFonts w:ascii="Arial" w:hAnsi="Arial" w:cs="Arial"/>
          <w:sz w:val="24"/>
          <w:szCs w:val="24"/>
        </w:rPr>
        <w:t>, tax and MOT, and that they and their vehicle are fit to drive</w:t>
      </w:r>
      <w:r w:rsidRPr="00213E9A">
        <w:rPr>
          <w:rFonts w:ascii="Arial" w:hAnsi="Arial" w:cs="Arial"/>
          <w:sz w:val="24"/>
          <w:szCs w:val="24"/>
        </w:rPr>
        <w:t>.</w:t>
      </w:r>
    </w:p>
    <w:p w14:paraId="7B5FF85F" w14:textId="77777777" w:rsidR="00213E9A" w:rsidRDefault="00213E9A" w:rsidP="003525CF">
      <w:pPr>
        <w:pStyle w:val="BodyTextIndent2"/>
        <w:ind w:left="0" w:right="-613"/>
        <w:rPr>
          <w:rFonts w:ascii="Arial" w:hAnsi="Arial" w:cs="Arial"/>
        </w:rPr>
      </w:pPr>
      <w:r>
        <w:rPr>
          <w:rFonts w:ascii="Arial" w:hAnsi="Arial" w:cs="Arial"/>
        </w:rPr>
        <w:t>10.2</w:t>
      </w:r>
      <w:r>
        <w:rPr>
          <w:rFonts w:ascii="Arial" w:hAnsi="Arial" w:cs="Arial"/>
        </w:rPr>
        <w:tab/>
        <w:t>Reimbursement for rail travel</w:t>
      </w:r>
    </w:p>
    <w:p w14:paraId="2BC8619A" w14:textId="77777777" w:rsidR="00213E9A" w:rsidRDefault="00213E9A" w:rsidP="003525CF">
      <w:pPr>
        <w:pStyle w:val="BodyTextIndent2"/>
        <w:ind w:left="426" w:right="-613"/>
        <w:rPr>
          <w:rFonts w:ascii="Arial" w:hAnsi="Arial" w:cs="Arial"/>
        </w:rPr>
      </w:pPr>
      <w:r>
        <w:rPr>
          <w:rFonts w:ascii="Arial" w:hAnsi="Arial" w:cs="Arial"/>
        </w:rPr>
        <w:t xml:space="preserve">The cost of rail travel will be reimbursed at the standard class rate, provided that evidence is available to show that this was the most economic option for the date and time of travel. </w:t>
      </w:r>
    </w:p>
    <w:p w14:paraId="41552BFC" w14:textId="77777777" w:rsidR="00213E9A" w:rsidRDefault="00213E9A" w:rsidP="003525CF">
      <w:pPr>
        <w:pStyle w:val="BodyTextIndent2"/>
        <w:ind w:left="426" w:right="-613"/>
        <w:rPr>
          <w:rFonts w:ascii="Arial" w:hAnsi="Arial" w:cs="Arial"/>
        </w:rPr>
      </w:pPr>
    </w:p>
    <w:p w14:paraId="7B85309E" w14:textId="77777777" w:rsidR="00213E9A" w:rsidRDefault="00213E9A" w:rsidP="003525CF">
      <w:pPr>
        <w:pStyle w:val="BodyTextIndent2"/>
        <w:ind w:left="0" w:right="-613"/>
        <w:rPr>
          <w:rFonts w:ascii="Arial" w:hAnsi="Arial" w:cs="Arial"/>
        </w:rPr>
      </w:pPr>
      <w:r>
        <w:rPr>
          <w:rFonts w:ascii="Arial" w:hAnsi="Arial" w:cs="Arial"/>
        </w:rPr>
        <w:t>10.3</w:t>
      </w:r>
      <w:r>
        <w:rPr>
          <w:rFonts w:ascii="Arial" w:hAnsi="Arial" w:cs="Arial"/>
        </w:rPr>
        <w:tab/>
        <w:t xml:space="preserve">Reimbursement for foreign travel </w:t>
      </w:r>
    </w:p>
    <w:p w14:paraId="3FA727F1" w14:textId="77777777" w:rsidR="00213E9A" w:rsidRDefault="00213E9A" w:rsidP="003525CF">
      <w:pPr>
        <w:pStyle w:val="BodyTextIndent2"/>
        <w:ind w:left="426" w:right="-613"/>
        <w:rPr>
          <w:rFonts w:ascii="Arial" w:hAnsi="Arial" w:cs="Arial"/>
        </w:rPr>
      </w:pPr>
      <w:r>
        <w:rPr>
          <w:rFonts w:ascii="Arial" w:hAnsi="Arial" w:cs="Arial"/>
        </w:rPr>
        <w:t xml:space="preserve">Reimbursement will be at economy class rates, and only for business related travel that has been authorised in advance by the Chief Executive. </w:t>
      </w:r>
    </w:p>
    <w:p w14:paraId="0AB41CD9" w14:textId="77777777" w:rsidR="00213E9A" w:rsidRPr="005B1606" w:rsidRDefault="00213E9A" w:rsidP="003525CF">
      <w:pPr>
        <w:pStyle w:val="BodyText"/>
        <w:ind w:right="-613"/>
        <w:jc w:val="left"/>
        <w:rPr>
          <w:rFonts w:ascii="Arial" w:hAnsi="Arial" w:cs="Arial"/>
          <w:b w:val="0"/>
          <w:sz w:val="24"/>
          <w:szCs w:val="24"/>
        </w:rPr>
      </w:pPr>
    </w:p>
    <w:p w14:paraId="3AC37192" w14:textId="77777777" w:rsidR="005B1606" w:rsidRPr="005B1606" w:rsidRDefault="005B1606" w:rsidP="003525CF">
      <w:pPr>
        <w:pStyle w:val="BodyText"/>
        <w:numPr>
          <w:ilvl w:val="1"/>
          <w:numId w:val="19"/>
        </w:numPr>
        <w:ind w:right="-613"/>
        <w:jc w:val="left"/>
        <w:rPr>
          <w:rFonts w:ascii="Arial" w:hAnsi="Arial" w:cs="Arial"/>
          <w:b w:val="0"/>
          <w:sz w:val="24"/>
          <w:szCs w:val="24"/>
        </w:rPr>
      </w:pPr>
      <w:r w:rsidRPr="005B1606">
        <w:rPr>
          <w:rFonts w:ascii="Arial" w:hAnsi="Arial" w:cs="Arial"/>
          <w:b w:val="0"/>
          <w:sz w:val="24"/>
          <w:szCs w:val="24"/>
        </w:rPr>
        <w:lastRenderedPageBreak/>
        <w:t>Other travel expenses</w:t>
      </w:r>
    </w:p>
    <w:p w14:paraId="76E8C57A" w14:textId="77777777" w:rsidR="005B1606" w:rsidRPr="005B1606" w:rsidRDefault="005B1606" w:rsidP="003525CF">
      <w:pPr>
        <w:pStyle w:val="ListParagraph"/>
        <w:tabs>
          <w:tab w:val="left" w:pos="-480"/>
          <w:tab w:val="left" w:pos="0"/>
          <w:tab w:val="left" w:pos="709"/>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613"/>
        <w:jc w:val="both"/>
        <w:rPr>
          <w:rFonts w:ascii="Arial" w:hAnsi="Arial" w:cs="Arial"/>
          <w:sz w:val="24"/>
          <w:szCs w:val="24"/>
        </w:rPr>
      </w:pPr>
      <w:r w:rsidRPr="005B1606">
        <w:rPr>
          <w:rFonts w:ascii="Arial" w:hAnsi="Arial" w:cs="Arial"/>
          <w:sz w:val="24"/>
          <w:szCs w:val="24"/>
        </w:rPr>
        <w:t>Reimbursement can be claimed for road / bridge tolls and parking.</w:t>
      </w:r>
    </w:p>
    <w:p w14:paraId="5AECD88C" w14:textId="77777777" w:rsidR="005B1606" w:rsidRDefault="005B1606" w:rsidP="003525CF">
      <w:pPr>
        <w:pStyle w:val="BodyText"/>
        <w:ind w:left="720" w:right="-613"/>
        <w:jc w:val="left"/>
        <w:rPr>
          <w:rFonts w:ascii="Arial" w:hAnsi="Arial" w:cs="Arial"/>
          <w:b w:val="0"/>
          <w:sz w:val="24"/>
        </w:rPr>
      </w:pPr>
    </w:p>
    <w:p w14:paraId="4B3C5D2F" w14:textId="77777777" w:rsidR="00213E9A" w:rsidRDefault="00213E9A" w:rsidP="003525CF">
      <w:pPr>
        <w:pStyle w:val="Subtitle"/>
        <w:ind w:right="-613"/>
        <w:rPr>
          <w:rFonts w:cs="Arial"/>
          <w:caps/>
        </w:rPr>
      </w:pPr>
      <w:r>
        <w:rPr>
          <w:rFonts w:cs="Arial"/>
        </w:rPr>
        <w:t xml:space="preserve">11.Subsistence </w:t>
      </w:r>
      <w:r w:rsidR="00DE1F6E">
        <w:rPr>
          <w:rFonts w:cs="Arial"/>
        </w:rPr>
        <w:t>a</w:t>
      </w:r>
      <w:r>
        <w:rPr>
          <w:rFonts w:cs="Arial"/>
        </w:rPr>
        <w:t xml:space="preserve">nd </w:t>
      </w:r>
      <w:r w:rsidR="00DE1F6E">
        <w:rPr>
          <w:rFonts w:cs="Arial"/>
        </w:rPr>
        <w:t>a</w:t>
      </w:r>
      <w:r>
        <w:rPr>
          <w:rFonts w:cs="Arial"/>
        </w:rPr>
        <w:t>ccommodation</w:t>
      </w:r>
    </w:p>
    <w:p w14:paraId="65CFA43F" w14:textId="77777777" w:rsidR="00213E9A" w:rsidRDefault="00213E9A" w:rsidP="003525CF">
      <w:pPr>
        <w:pStyle w:val="BodyTextIndent"/>
        <w:ind w:left="360" w:right="-613"/>
        <w:rPr>
          <w:rFonts w:ascii="Arial" w:hAnsi="Arial" w:cs="Arial"/>
        </w:rPr>
      </w:pPr>
      <w:r>
        <w:rPr>
          <w:rFonts w:ascii="Arial" w:hAnsi="Arial" w:cs="Arial"/>
        </w:rPr>
        <w:t>Accommodation and subsistence will be prearranged by the Office of The Police and Crime Commissioner where possible.  Reasonable out of pocket expenses will be reimbursed provided a receipt is submitted, however:</w:t>
      </w:r>
    </w:p>
    <w:p w14:paraId="69DCEC5C" w14:textId="77777777" w:rsidR="00213E9A" w:rsidRDefault="00213E9A" w:rsidP="003525CF">
      <w:pPr>
        <w:pStyle w:val="Subtitle"/>
        <w:ind w:left="360" w:right="-613"/>
        <w:rPr>
          <w:rFonts w:cs="Arial"/>
          <w:b w:val="0"/>
        </w:rPr>
      </w:pPr>
    </w:p>
    <w:p w14:paraId="5B647FB4" w14:textId="77777777" w:rsidR="00213E9A" w:rsidRDefault="00F2132B" w:rsidP="003525CF">
      <w:pPr>
        <w:pStyle w:val="Subtitle"/>
        <w:numPr>
          <w:ilvl w:val="0"/>
          <w:numId w:val="7"/>
        </w:numPr>
        <w:tabs>
          <w:tab w:val="clear" w:pos="360"/>
          <w:tab w:val="num" w:pos="720"/>
        </w:tabs>
        <w:ind w:left="720" w:right="-613"/>
        <w:rPr>
          <w:rFonts w:cs="Arial"/>
          <w:b w:val="0"/>
        </w:rPr>
      </w:pPr>
      <w:r>
        <w:rPr>
          <w:rFonts w:cs="Arial"/>
          <w:b w:val="0"/>
        </w:rPr>
        <w:t>w</w:t>
      </w:r>
      <w:r w:rsidR="00213E9A">
        <w:rPr>
          <w:rFonts w:cs="Arial"/>
          <w:b w:val="0"/>
        </w:rPr>
        <w:t>here a meal is provided without charge by the Office of The Police and Crime Commissioner, or any other body, as part of an approved duty, no subsequent claim for subsistence can be made.</w:t>
      </w:r>
    </w:p>
    <w:p w14:paraId="39840704" w14:textId="77777777" w:rsidR="00213E9A" w:rsidRDefault="00213E9A" w:rsidP="003525CF">
      <w:pPr>
        <w:pStyle w:val="Subtitle"/>
        <w:ind w:left="720" w:right="-613"/>
        <w:rPr>
          <w:rFonts w:cs="Arial"/>
          <w:b w:val="0"/>
        </w:rPr>
      </w:pPr>
    </w:p>
    <w:p w14:paraId="190DEA24" w14:textId="77777777" w:rsidR="00213E9A" w:rsidRDefault="00F2132B" w:rsidP="003525CF">
      <w:pPr>
        <w:pStyle w:val="Subtitle"/>
        <w:numPr>
          <w:ilvl w:val="0"/>
          <w:numId w:val="7"/>
        </w:numPr>
        <w:tabs>
          <w:tab w:val="clear" w:pos="360"/>
          <w:tab w:val="num" w:pos="720"/>
        </w:tabs>
        <w:ind w:left="720" w:right="-613"/>
        <w:rPr>
          <w:rFonts w:cs="Arial"/>
          <w:b w:val="0"/>
        </w:rPr>
      </w:pPr>
      <w:r>
        <w:rPr>
          <w:rFonts w:cs="Arial"/>
          <w:b w:val="0"/>
        </w:rPr>
        <w:t>t</w:t>
      </w:r>
      <w:r w:rsidR="00213E9A">
        <w:rPr>
          <w:rFonts w:cs="Arial"/>
          <w:b w:val="0"/>
        </w:rPr>
        <w:t xml:space="preserve">he maximum rate of reimbursement for breakfast and lunch is £10 and for dinner is £30. </w:t>
      </w:r>
    </w:p>
    <w:p w14:paraId="45DC17B5" w14:textId="77777777" w:rsidR="00213E9A" w:rsidRDefault="00213E9A" w:rsidP="003525CF">
      <w:pPr>
        <w:pStyle w:val="Subtitle"/>
        <w:ind w:left="360" w:right="-613"/>
        <w:rPr>
          <w:rFonts w:cs="Arial"/>
          <w:b w:val="0"/>
        </w:rPr>
      </w:pPr>
    </w:p>
    <w:p w14:paraId="2786502D" w14:textId="77777777" w:rsidR="00213E9A" w:rsidRDefault="00213E9A" w:rsidP="003525CF">
      <w:pPr>
        <w:pStyle w:val="Subtitle"/>
        <w:numPr>
          <w:ilvl w:val="0"/>
          <w:numId w:val="20"/>
        </w:numPr>
        <w:ind w:right="-613"/>
        <w:rPr>
          <w:rFonts w:cs="Arial"/>
        </w:rPr>
      </w:pPr>
      <w:r>
        <w:rPr>
          <w:rFonts w:cs="Arial"/>
        </w:rPr>
        <w:t>Carers/Dependants Allowance</w:t>
      </w:r>
    </w:p>
    <w:p w14:paraId="66BE8485" w14:textId="77777777" w:rsidR="00213E9A" w:rsidRDefault="00213E9A" w:rsidP="003525CF">
      <w:pPr>
        <w:pStyle w:val="Subtitle"/>
        <w:ind w:left="420" w:right="-613"/>
        <w:rPr>
          <w:rFonts w:cs="Arial"/>
          <w:b w:val="0"/>
        </w:rPr>
      </w:pPr>
      <w:r>
        <w:rPr>
          <w:rFonts w:cs="Arial"/>
          <w:b w:val="0"/>
        </w:rPr>
        <w:t xml:space="preserve">A person who needs to engage the services of a carer for a dependant relative or child to enable him or her to attend Office of The Police and Crime Commissioner business shall be entitled to claim the actual evidenced cost incurred subject to a maximum of £60 per day per carer, except in circumstances where childcare vouchers have been purchased as part of a salary sacrifice scheme, </w:t>
      </w:r>
      <w:r w:rsidR="00402B48">
        <w:rPr>
          <w:rFonts w:cs="Arial"/>
          <w:b w:val="0"/>
        </w:rPr>
        <w:t xml:space="preserve">and / or you are claiming approved, free, or tax free childcare through Government child care schemes, </w:t>
      </w:r>
      <w:r>
        <w:rPr>
          <w:rFonts w:cs="Arial"/>
          <w:b w:val="0"/>
        </w:rPr>
        <w:t>in which case the amount reimbursed against the claim will be reduced accordingly</w:t>
      </w:r>
      <w:r w:rsidR="00F2132B">
        <w:rPr>
          <w:rFonts w:cs="Arial"/>
          <w:b w:val="0"/>
        </w:rPr>
        <w:t>.</w:t>
      </w:r>
    </w:p>
    <w:p w14:paraId="35EEC8AB" w14:textId="77777777" w:rsidR="00213E9A" w:rsidRDefault="00213E9A" w:rsidP="003525CF">
      <w:pPr>
        <w:pStyle w:val="Subtitle"/>
        <w:ind w:left="60" w:right="-613"/>
        <w:rPr>
          <w:rFonts w:cs="Arial"/>
          <w:b w:val="0"/>
        </w:rPr>
      </w:pPr>
    </w:p>
    <w:p w14:paraId="2495269C" w14:textId="77777777" w:rsidR="00213E9A" w:rsidRDefault="00213E9A" w:rsidP="003525CF">
      <w:pPr>
        <w:pStyle w:val="Subtitle"/>
        <w:ind w:left="420" w:right="-613"/>
        <w:rPr>
          <w:rFonts w:cs="Arial"/>
          <w:b w:val="0"/>
        </w:rPr>
      </w:pPr>
      <w:r>
        <w:rPr>
          <w:rFonts w:cs="Arial"/>
          <w:b w:val="0"/>
        </w:rPr>
        <w:t>For an allowance to be payable the dependent being cared for must be in one of the following groups:</w:t>
      </w:r>
    </w:p>
    <w:p w14:paraId="08F6E406" w14:textId="77777777" w:rsidR="00213E9A" w:rsidRDefault="00213E9A" w:rsidP="003525CF">
      <w:pPr>
        <w:pStyle w:val="Subtitle"/>
        <w:ind w:right="-613"/>
        <w:rPr>
          <w:rFonts w:cs="Arial"/>
          <w:b w:val="0"/>
        </w:rPr>
      </w:pPr>
    </w:p>
    <w:p w14:paraId="02967A3F" w14:textId="77777777" w:rsidR="00213E9A" w:rsidRDefault="00213E9A" w:rsidP="003525CF">
      <w:pPr>
        <w:pStyle w:val="Subtitle"/>
        <w:numPr>
          <w:ilvl w:val="0"/>
          <w:numId w:val="8"/>
        </w:numPr>
        <w:tabs>
          <w:tab w:val="clear" w:pos="360"/>
          <w:tab w:val="num" w:pos="1080"/>
        </w:tabs>
        <w:ind w:left="1080" w:right="-613"/>
        <w:rPr>
          <w:rFonts w:cs="Arial"/>
          <w:b w:val="0"/>
        </w:rPr>
      </w:pPr>
      <w:r>
        <w:rPr>
          <w:rFonts w:cs="Arial"/>
          <w:b w:val="0"/>
        </w:rPr>
        <w:t>Under 16 years of age</w:t>
      </w:r>
    </w:p>
    <w:p w14:paraId="61DC81F9" w14:textId="77777777" w:rsidR="00213E9A" w:rsidRPr="00213E9A" w:rsidRDefault="00213E9A" w:rsidP="003525CF">
      <w:pPr>
        <w:pStyle w:val="Subtitle"/>
        <w:numPr>
          <w:ilvl w:val="0"/>
          <w:numId w:val="9"/>
        </w:numPr>
        <w:tabs>
          <w:tab w:val="clear" w:pos="360"/>
          <w:tab w:val="num" w:pos="1080"/>
        </w:tabs>
        <w:ind w:left="1080" w:right="-613"/>
        <w:rPr>
          <w:rFonts w:cs="Arial"/>
          <w:b w:val="0"/>
        </w:rPr>
      </w:pPr>
      <w:r w:rsidRPr="00213E9A">
        <w:rPr>
          <w:rFonts w:cs="Arial"/>
          <w:b w:val="0"/>
        </w:rPr>
        <w:t>A person with a mental or physical disability who live</w:t>
      </w:r>
      <w:r>
        <w:rPr>
          <w:rFonts w:cs="Arial"/>
          <w:b w:val="0"/>
        </w:rPr>
        <w:t>s</w:t>
      </w:r>
      <w:r w:rsidRPr="00213E9A">
        <w:rPr>
          <w:rFonts w:cs="Arial"/>
          <w:b w:val="0"/>
        </w:rPr>
        <w:t xml:space="preserve"> with the claimant as part of his / her family and must not be able to be left unsupervised. </w:t>
      </w:r>
    </w:p>
    <w:p w14:paraId="63732B69" w14:textId="77777777" w:rsidR="00213E9A" w:rsidRDefault="00213E9A" w:rsidP="003525CF">
      <w:pPr>
        <w:pStyle w:val="Subtitle"/>
        <w:ind w:right="-613"/>
        <w:rPr>
          <w:rFonts w:cs="Arial"/>
          <w:b w:val="0"/>
        </w:rPr>
      </w:pPr>
    </w:p>
    <w:p w14:paraId="545558F3" w14:textId="77777777" w:rsidR="00213E9A" w:rsidRDefault="00213E9A" w:rsidP="003525CF">
      <w:pPr>
        <w:pStyle w:val="Subtitle"/>
        <w:ind w:left="426" w:right="-613"/>
        <w:rPr>
          <w:rFonts w:cs="Arial"/>
          <w:b w:val="0"/>
        </w:rPr>
      </w:pPr>
      <w:r>
        <w:rPr>
          <w:rFonts w:cs="Arial"/>
          <w:b w:val="0"/>
        </w:rPr>
        <w:t>A carer (</w:t>
      </w:r>
      <w:proofErr w:type="spellStart"/>
      <w:r>
        <w:rPr>
          <w:rFonts w:cs="Arial"/>
          <w:b w:val="0"/>
        </w:rPr>
        <w:t>ie</w:t>
      </w:r>
      <w:proofErr w:type="spellEnd"/>
      <w:r>
        <w:rPr>
          <w:rFonts w:cs="Arial"/>
          <w:b w:val="0"/>
        </w:rPr>
        <w:t xml:space="preserve"> the person being paid to act as carer while the claimant is carrying out his / her duties) is defined as someone who does not normally live with the claimant as part of their family, and is not part of the extended family. </w:t>
      </w:r>
    </w:p>
    <w:p w14:paraId="69423B24" w14:textId="77777777" w:rsidR="00213E9A" w:rsidRDefault="00213E9A" w:rsidP="003525CF">
      <w:pPr>
        <w:pStyle w:val="Subtitle"/>
        <w:ind w:left="426" w:right="-613"/>
        <w:rPr>
          <w:rFonts w:cs="Arial"/>
          <w:b w:val="0"/>
        </w:rPr>
      </w:pPr>
    </w:p>
    <w:p w14:paraId="2CE3BE41" w14:textId="77777777" w:rsidR="00213E9A" w:rsidRDefault="00213E9A" w:rsidP="003525CF">
      <w:pPr>
        <w:pStyle w:val="Subtitle"/>
        <w:ind w:left="426" w:right="-613"/>
        <w:rPr>
          <w:rFonts w:cs="Arial"/>
          <w:b w:val="0"/>
        </w:rPr>
      </w:pPr>
      <w:r>
        <w:rPr>
          <w:rFonts w:cs="Arial"/>
          <w:b w:val="0"/>
        </w:rPr>
        <w:t xml:space="preserve">The Inland Revenue view the payment of carer’s costs as a taxable benefit and any payments will be subject to tax and national insurance deductions. </w:t>
      </w:r>
    </w:p>
    <w:p w14:paraId="380685DA" w14:textId="77777777" w:rsidR="00213E9A" w:rsidRDefault="00213E9A" w:rsidP="003525CF">
      <w:pPr>
        <w:pStyle w:val="Subtitle"/>
        <w:ind w:left="426" w:right="-613"/>
        <w:rPr>
          <w:rFonts w:cs="Arial"/>
          <w:b w:val="0"/>
        </w:rPr>
      </w:pPr>
    </w:p>
    <w:p w14:paraId="6D49C58C" w14:textId="77777777" w:rsidR="00213E9A" w:rsidRDefault="00213E9A" w:rsidP="003525CF">
      <w:pPr>
        <w:pStyle w:val="Subtitle"/>
        <w:ind w:left="426" w:right="-613"/>
        <w:rPr>
          <w:rFonts w:cs="Arial"/>
          <w:b w:val="0"/>
        </w:rPr>
      </w:pPr>
      <w:r>
        <w:rPr>
          <w:rFonts w:cs="Arial"/>
          <w:b w:val="0"/>
        </w:rPr>
        <w:t xml:space="preserve">Claimants of this allowance are expected to take advantage of salary sacrifice schemes where applicable and available, </w:t>
      </w:r>
    </w:p>
    <w:p w14:paraId="422C8565" w14:textId="77777777" w:rsidR="00213E9A" w:rsidRDefault="00213E9A" w:rsidP="003525CF">
      <w:pPr>
        <w:pStyle w:val="Subtitle"/>
        <w:ind w:right="-613"/>
        <w:rPr>
          <w:rFonts w:cs="Arial"/>
        </w:rPr>
      </w:pPr>
    </w:p>
    <w:p w14:paraId="41063F25" w14:textId="77777777" w:rsidR="00213E9A" w:rsidRDefault="00213E9A" w:rsidP="003525CF">
      <w:pPr>
        <w:pStyle w:val="Subtitle"/>
        <w:numPr>
          <w:ilvl w:val="0"/>
          <w:numId w:val="20"/>
        </w:numPr>
        <w:ind w:right="-613"/>
        <w:rPr>
          <w:rFonts w:cs="Arial"/>
        </w:rPr>
      </w:pPr>
      <w:r>
        <w:rPr>
          <w:rFonts w:cs="Arial"/>
        </w:rPr>
        <w:t>Exceptional expenses</w:t>
      </w:r>
    </w:p>
    <w:p w14:paraId="27B144E9" w14:textId="77777777" w:rsidR="00213E9A" w:rsidRDefault="00213E9A" w:rsidP="003525CF">
      <w:pPr>
        <w:pStyle w:val="Subtitle"/>
        <w:ind w:left="360" w:right="-613"/>
        <w:rPr>
          <w:rFonts w:cs="Arial"/>
          <w:b w:val="0"/>
        </w:rPr>
      </w:pPr>
      <w:r>
        <w:rPr>
          <w:rFonts w:cs="Arial"/>
          <w:b w:val="0"/>
        </w:rPr>
        <w:t xml:space="preserve">Any claims for exceptional expenses incurred in the exercise of business related functions will require the approval of the Chief Executive.  In considering whether to grant this approval, the Chief Executive shall take into account the following factors: </w:t>
      </w:r>
    </w:p>
    <w:p w14:paraId="56AD69A6" w14:textId="77777777" w:rsidR="00213E9A" w:rsidRDefault="00213E9A" w:rsidP="003525CF">
      <w:pPr>
        <w:pStyle w:val="Subtitle"/>
        <w:ind w:right="-613"/>
        <w:rPr>
          <w:rFonts w:cs="Arial"/>
          <w:b w:val="0"/>
        </w:rPr>
      </w:pPr>
    </w:p>
    <w:p w14:paraId="55BAD853" w14:textId="77777777" w:rsidR="00213E9A" w:rsidRDefault="00213E9A" w:rsidP="003525CF">
      <w:pPr>
        <w:pStyle w:val="Subtitle"/>
        <w:numPr>
          <w:ilvl w:val="0"/>
          <w:numId w:val="10"/>
        </w:numPr>
        <w:ind w:right="-613"/>
        <w:rPr>
          <w:rFonts w:cs="Arial"/>
          <w:b w:val="0"/>
        </w:rPr>
      </w:pPr>
      <w:r>
        <w:rPr>
          <w:rFonts w:cs="Arial"/>
          <w:b w:val="0"/>
        </w:rPr>
        <w:t>Whether there are exceptional circumstances warranting additional support;</w:t>
      </w:r>
    </w:p>
    <w:p w14:paraId="7C09CBE1" w14:textId="77777777" w:rsidR="00213E9A" w:rsidRDefault="00213E9A" w:rsidP="003525CF">
      <w:pPr>
        <w:pStyle w:val="Subtitle"/>
        <w:numPr>
          <w:ilvl w:val="0"/>
          <w:numId w:val="10"/>
        </w:numPr>
        <w:ind w:right="-613"/>
        <w:rPr>
          <w:rFonts w:cs="Arial"/>
          <w:b w:val="0"/>
        </w:rPr>
      </w:pPr>
      <w:r>
        <w:rPr>
          <w:rFonts w:cs="Arial"/>
          <w:b w:val="0"/>
        </w:rPr>
        <w:t>Whether the claimant could reasonably have been expected to take any action to avoid the circumstances which gave rise to the expenditure or liability; and</w:t>
      </w:r>
    </w:p>
    <w:p w14:paraId="1EDF6DE0" w14:textId="77777777" w:rsidR="00213E9A" w:rsidRDefault="00213E9A" w:rsidP="003525CF">
      <w:pPr>
        <w:pStyle w:val="Subtitle"/>
        <w:numPr>
          <w:ilvl w:val="0"/>
          <w:numId w:val="10"/>
        </w:numPr>
        <w:ind w:right="-613"/>
        <w:rPr>
          <w:rFonts w:cs="Arial"/>
          <w:b w:val="0"/>
        </w:rPr>
      </w:pPr>
      <w:r>
        <w:rPr>
          <w:rFonts w:cs="Arial"/>
          <w:b w:val="0"/>
        </w:rPr>
        <w:lastRenderedPageBreak/>
        <w:t xml:space="preserve">Whether the claimant’s performance of the business related function will be significantly impaired by a refusal of the claim. </w:t>
      </w:r>
    </w:p>
    <w:p w14:paraId="7C86FD04" w14:textId="77777777" w:rsidR="00213E9A" w:rsidRDefault="00213E9A" w:rsidP="003525CF">
      <w:pPr>
        <w:pStyle w:val="Subtitle"/>
        <w:ind w:right="-613"/>
        <w:rPr>
          <w:rFonts w:cs="Arial"/>
          <w:b w:val="0"/>
        </w:rPr>
      </w:pPr>
    </w:p>
    <w:p w14:paraId="61A59011" w14:textId="77777777" w:rsidR="00213E9A" w:rsidRDefault="00213E9A" w:rsidP="003525CF">
      <w:pPr>
        <w:pStyle w:val="Subtitle"/>
        <w:numPr>
          <w:ilvl w:val="0"/>
          <w:numId w:val="20"/>
        </w:numPr>
        <w:ind w:right="-613"/>
        <w:rPr>
          <w:rFonts w:cs="Arial"/>
        </w:rPr>
      </w:pPr>
      <w:r>
        <w:rPr>
          <w:rFonts w:cs="Arial"/>
        </w:rPr>
        <w:t>Variation to this scheme of allowances and expenditure</w:t>
      </w:r>
    </w:p>
    <w:p w14:paraId="2794C1B5" w14:textId="77777777" w:rsidR="00213E9A" w:rsidRDefault="00213E9A" w:rsidP="003525CF">
      <w:pPr>
        <w:pStyle w:val="Subtitle"/>
        <w:ind w:left="360" w:right="-613"/>
        <w:rPr>
          <w:rFonts w:cs="Arial"/>
          <w:b w:val="0"/>
        </w:rPr>
      </w:pPr>
      <w:r>
        <w:rPr>
          <w:rFonts w:cs="Arial"/>
          <w:b w:val="0"/>
        </w:rPr>
        <w:t>The Chief Executive has the authority to vary these arrangements in exceptional circumstances.</w:t>
      </w:r>
    </w:p>
    <w:p w14:paraId="10D7F4F4" w14:textId="77777777" w:rsidR="00AB46A0" w:rsidRDefault="00AB46A0" w:rsidP="003525CF">
      <w:pPr>
        <w:pStyle w:val="Subtitle"/>
        <w:ind w:left="360" w:right="-613"/>
        <w:rPr>
          <w:rFonts w:cs="Arial"/>
          <w:b w:val="0"/>
        </w:rPr>
      </w:pPr>
    </w:p>
    <w:p w14:paraId="47DCF0F5" w14:textId="77777777" w:rsidR="00200D39" w:rsidRPr="00DE1F6E" w:rsidRDefault="00200D39" w:rsidP="003525CF">
      <w:pPr>
        <w:pStyle w:val="Subtitle"/>
        <w:ind w:right="-613"/>
        <w:rPr>
          <w:rFonts w:cs="Arial"/>
          <w:sz w:val="32"/>
          <w:szCs w:val="32"/>
        </w:rPr>
      </w:pPr>
      <w:r w:rsidRPr="00DE1F6E">
        <w:rPr>
          <w:rFonts w:cs="Arial"/>
          <w:sz w:val="32"/>
          <w:szCs w:val="32"/>
        </w:rPr>
        <w:t xml:space="preserve">Part 2 </w:t>
      </w:r>
      <w:r w:rsidR="00DE1F6E" w:rsidRPr="00DE1F6E">
        <w:rPr>
          <w:rFonts w:cs="Arial"/>
          <w:sz w:val="32"/>
          <w:szCs w:val="32"/>
        </w:rPr>
        <w:t xml:space="preserve">Allowances and </w:t>
      </w:r>
      <w:r w:rsidR="00721177">
        <w:rPr>
          <w:rFonts w:cs="Arial"/>
          <w:sz w:val="32"/>
          <w:szCs w:val="32"/>
        </w:rPr>
        <w:t>e</w:t>
      </w:r>
      <w:r w:rsidR="00DE1F6E" w:rsidRPr="00DE1F6E">
        <w:rPr>
          <w:rFonts w:cs="Arial"/>
          <w:sz w:val="32"/>
          <w:szCs w:val="32"/>
        </w:rPr>
        <w:t xml:space="preserve">xpenses </w:t>
      </w:r>
      <w:r w:rsidR="00721177">
        <w:rPr>
          <w:rFonts w:cs="Arial"/>
          <w:sz w:val="32"/>
          <w:szCs w:val="32"/>
        </w:rPr>
        <w:t>for specific roles</w:t>
      </w:r>
    </w:p>
    <w:p w14:paraId="0214C950" w14:textId="77777777" w:rsidR="00200D39" w:rsidRDefault="00200D39" w:rsidP="003525CF">
      <w:pPr>
        <w:pStyle w:val="Subtitle"/>
        <w:ind w:left="360" w:right="-613"/>
        <w:rPr>
          <w:rFonts w:cs="Arial"/>
          <w:b w:val="0"/>
        </w:rPr>
      </w:pPr>
    </w:p>
    <w:p w14:paraId="727BC186" w14:textId="77777777" w:rsidR="00AB46A0" w:rsidRPr="003525CF" w:rsidRDefault="00AB46A0" w:rsidP="003525CF">
      <w:pPr>
        <w:pStyle w:val="Subtitle"/>
        <w:numPr>
          <w:ilvl w:val="0"/>
          <w:numId w:val="20"/>
        </w:numPr>
        <w:ind w:right="-613"/>
        <w:rPr>
          <w:rFonts w:ascii="Times New Roman" w:hAnsi="Times New Roman"/>
          <w:szCs w:val="24"/>
          <w:lang w:val="en"/>
        </w:rPr>
      </w:pPr>
      <w:r>
        <w:rPr>
          <w:rFonts w:cs="Arial"/>
        </w:rPr>
        <w:t xml:space="preserve">Authorised allowances and expenses for the </w:t>
      </w:r>
      <w:r w:rsidRPr="00D1734A">
        <w:rPr>
          <w:rFonts w:cs="Arial"/>
        </w:rPr>
        <w:t>Police and Crime Commissioner</w:t>
      </w:r>
    </w:p>
    <w:p w14:paraId="10BC2C1E" w14:textId="77777777" w:rsidR="00AB46A0" w:rsidRPr="00D1734A" w:rsidRDefault="00AB46A0" w:rsidP="003525CF">
      <w:pPr>
        <w:pStyle w:val="Subtitle"/>
        <w:ind w:left="360" w:right="-613"/>
        <w:rPr>
          <w:rFonts w:cs="Arial"/>
          <w:b w:val="0"/>
        </w:rPr>
      </w:pPr>
      <w:r w:rsidRPr="00D1734A">
        <w:rPr>
          <w:rFonts w:cs="Arial"/>
          <w:b w:val="0"/>
        </w:rPr>
        <w:t>Paragraph 3 of Schedule 1 to the Police Reform and Social Responsibility Act 2011 (‘the 2011 Act’) provides that a police and crime commissioner (PCC) is to be paid authorised allowances. ‘Authorised allowances’ means allowances, in respect of expenses incurred by the commissioner in the exercise of the commissioner’s functions, which are of the kinds and amounts determined by the Secretary of State. A determination under paragraph 3 may make different provision for different cases.</w:t>
      </w:r>
    </w:p>
    <w:p w14:paraId="1DF53DD0" w14:textId="77777777" w:rsidR="00AB46A0" w:rsidRDefault="00AB46A0" w:rsidP="003525CF">
      <w:pPr>
        <w:spacing w:after="0" w:line="240" w:lineRule="auto"/>
        <w:ind w:right="-613"/>
        <w:rPr>
          <w:rFonts w:ascii="Times New Roman" w:eastAsia="Times New Roman" w:hAnsi="Times New Roman" w:cs="Times New Roman"/>
          <w:sz w:val="24"/>
          <w:szCs w:val="24"/>
          <w:lang w:val="en" w:eastAsia="en-GB"/>
        </w:rPr>
      </w:pPr>
    </w:p>
    <w:p w14:paraId="64510FE7" w14:textId="77777777" w:rsidR="00AB46A0" w:rsidRDefault="00AB46A0" w:rsidP="003525CF">
      <w:pPr>
        <w:spacing w:after="0" w:line="240" w:lineRule="auto"/>
        <w:ind w:left="360" w:right="-613"/>
        <w:rPr>
          <w:rFonts w:ascii="Arial" w:eastAsia="Times New Roman" w:hAnsi="Arial" w:cs="Arial"/>
          <w:sz w:val="24"/>
          <w:szCs w:val="20"/>
          <w:lang w:eastAsia="en-GB"/>
        </w:rPr>
      </w:pPr>
      <w:r w:rsidRPr="00D1734A">
        <w:rPr>
          <w:rFonts w:ascii="Arial" w:eastAsia="Times New Roman" w:hAnsi="Arial" w:cs="Arial"/>
          <w:sz w:val="24"/>
          <w:szCs w:val="20"/>
          <w:lang w:eastAsia="en-GB"/>
        </w:rPr>
        <w:t>The purpose of authorised allowances is to reimburse expenses incurred by PCCs in carrying out their duties, not to provide a general gratuity for undertaking the role. Commissioners are paid a salary determined by the Secretary of State on the advice of the senior salaries review board.</w:t>
      </w:r>
    </w:p>
    <w:p w14:paraId="14DC0BBA" w14:textId="77777777" w:rsidR="00AB46A0" w:rsidRPr="00D1734A" w:rsidRDefault="00AB46A0" w:rsidP="003525CF">
      <w:pPr>
        <w:spacing w:after="0" w:line="240" w:lineRule="auto"/>
        <w:ind w:left="360" w:right="-613"/>
        <w:rPr>
          <w:rFonts w:ascii="Arial" w:eastAsia="Times New Roman" w:hAnsi="Arial" w:cs="Arial"/>
          <w:sz w:val="24"/>
          <w:szCs w:val="20"/>
          <w:lang w:eastAsia="en-GB"/>
        </w:rPr>
      </w:pPr>
    </w:p>
    <w:p w14:paraId="58BAAD3E" w14:textId="77777777" w:rsidR="00AB46A0" w:rsidRDefault="00AB46A0" w:rsidP="003525CF">
      <w:pPr>
        <w:spacing w:after="0" w:line="240" w:lineRule="auto"/>
        <w:ind w:left="360" w:right="-613"/>
        <w:rPr>
          <w:rFonts w:ascii="Arial" w:eastAsia="Times New Roman" w:hAnsi="Arial" w:cs="Arial"/>
          <w:sz w:val="24"/>
          <w:szCs w:val="20"/>
          <w:lang w:eastAsia="en-GB"/>
        </w:rPr>
      </w:pPr>
      <w:r w:rsidRPr="00292E6F">
        <w:rPr>
          <w:rFonts w:ascii="Arial" w:eastAsia="Times New Roman" w:hAnsi="Arial" w:cs="Arial"/>
          <w:sz w:val="24"/>
          <w:szCs w:val="20"/>
          <w:lang w:eastAsia="en-GB"/>
        </w:rPr>
        <w:t>The kinds of allowances determined by the Secretary of State for the purposes of paragraph 3 of Schedule 1 to the 2011 Act are allowances in respect of:</w:t>
      </w:r>
    </w:p>
    <w:p w14:paraId="0C951917" w14:textId="77777777" w:rsidR="00AB46A0" w:rsidRPr="00292E6F" w:rsidRDefault="00AB46A0" w:rsidP="003525CF">
      <w:pPr>
        <w:spacing w:after="0" w:line="240" w:lineRule="auto"/>
        <w:ind w:left="360" w:right="-613"/>
        <w:rPr>
          <w:rFonts w:ascii="Arial" w:eastAsia="Times New Roman" w:hAnsi="Arial" w:cs="Arial"/>
          <w:sz w:val="24"/>
          <w:szCs w:val="20"/>
          <w:lang w:eastAsia="en-GB"/>
        </w:rPr>
      </w:pPr>
    </w:p>
    <w:p w14:paraId="4EF03A9B" w14:textId="77777777" w:rsidR="00AB46A0" w:rsidRPr="00292E6F" w:rsidRDefault="00AB46A0" w:rsidP="003525CF">
      <w:pPr>
        <w:numPr>
          <w:ilvl w:val="0"/>
          <w:numId w:val="1"/>
        </w:numPr>
        <w:tabs>
          <w:tab w:val="clear" w:pos="720"/>
          <w:tab w:val="num" w:pos="1440"/>
        </w:tabs>
        <w:spacing w:after="0" w:line="240" w:lineRule="auto"/>
        <w:ind w:left="1440" w:right="-613"/>
        <w:rPr>
          <w:rFonts w:ascii="Arial" w:eastAsia="Times New Roman" w:hAnsi="Arial" w:cs="Arial"/>
          <w:sz w:val="24"/>
          <w:szCs w:val="20"/>
          <w:lang w:eastAsia="en-GB"/>
        </w:rPr>
      </w:pPr>
      <w:r w:rsidRPr="00292E6F">
        <w:rPr>
          <w:rFonts w:ascii="Arial" w:eastAsia="Times New Roman" w:hAnsi="Arial" w:cs="Arial"/>
          <w:sz w:val="24"/>
          <w:szCs w:val="20"/>
          <w:lang w:eastAsia="en-GB"/>
        </w:rPr>
        <w:t>travel expenses</w:t>
      </w:r>
    </w:p>
    <w:p w14:paraId="71052F70" w14:textId="77777777" w:rsidR="00AB46A0" w:rsidRPr="00292E6F" w:rsidRDefault="00AB46A0" w:rsidP="003525CF">
      <w:pPr>
        <w:numPr>
          <w:ilvl w:val="0"/>
          <w:numId w:val="1"/>
        </w:numPr>
        <w:tabs>
          <w:tab w:val="clear" w:pos="720"/>
          <w:tab w:val="num" w:pos="1440"/>
        </w:tabs>
        <w:spacing w:after="0" w:line="240" w:lineRule="auto"/>
        <w:ind w:left="1440" w:right="-613"/>
        <w:rPr>
          <w:rFonts w:ascii="Arial" w:eastAsia="Times New Roman" w:hAnsi="Arial" w:cs="Arial"/>
          <w:sz w:val="24"/>
          <w:szCs w:val="20"/>
          <w:lang w:eastAsia="en-GB"/>
        </w:rPr>
      </w:pPr>
      <w:r w:rsidRPr="00292E6F">
        <w:rPr>
          <w:rFonts w:ascii="Arial" w:eastAsia="Times New Roman" w:hAnsi="Arial" w:cs="Arial"/>
          <w:sz w:val="24"/>
          <w:szCs w:val="20"/>
          <w:lang w:eastAsia="en-GB"/>
        </w:rPr>
        <w:t>subsistence expenses</w:t>
      </w:r>
    </w:p>
    <w:p w14:paraId="6EF9C170" w14:textId="77777777" w:rsidR="00AB46A0" w:rsidRDefault="00AB46A0" w:rsidP="003525CF">
      <w:pPr>
        <w:numPr>
          <w:ilvl w:val="0"/>
          <w:numId w:val="1"/>
        </w:numPr>
        <w:tabs>
          <w:tab w:val="clear" w:pos="720"/>
          <w:tab w:val="num" w:pos="1440"/>
        </w:tabs>
        <w:spacing w:after="0" w:line="240" w:lineRule="auto"/>
        <w:ind w:left="1440" w:right="-613"/>
        <w:rPr>
          <w:rFonts w:ascii="Arial" w:eastAsia="Times New Roman" w:hAnsi="Arial" w:cs="Arial"/>
          <w:sz w:val="24"/>
          <w:szCs w:val="20"/>
          <w:lang w:eastAsia="en-GB"/>
        </w:rPr>
      </w:pPr>
      <w:r w:rsidRPr="00292E6F">
        <w:rPr>
          <w:rFonts w:ascii="Arial" w:eastAsia="Times New Roman" w:hAnsi="Arial" w:cs="Arial"/>
          <w:sz w:val="24"/>
          <w:szCs w:val="20"/>
          <w:lang w:eastAsia="en-GB"/>
        </w:rPr>
        <w:t>exceptional expenses</w:t>
      </w:r>
    </w:p>
    <w:p w14:paraId="7E7ED94C" w14:textId="77777777" w:rsidR="00AB46A0" w:rsidRPr="00292E6F" w:rsidRDefault="00AB46A0" w:rsidP="003525CF">
      <w:pPr>
        <w:spacing w:after="0" w:line="240" w:lineRule="auto"/>
        <w:ind w:left="1440" w:right="-613"/>
        <w:rPr>
          <w:rFonts w:ascii="Arial" w:eastAsia="Times New Roman" w:hAnsi="Arial" w:cs="Arial"/>
          <w:sz w:val="24"/>
          <w:szCs w:val="20"/>
          <w:lang w:eastAsia="en-GB"/>
        </w:rPr>
      </w:pPr>
    </w:p>
    <w:p w14:paraId="6363434D" w14:textId="77777777" w:rsidR="00AB46A0" w:rsidRDefault="00AB46A0" w:rsidP="003525CF">
      <w:pPr>
        <w:spacing w:after="0" w:line="240" w:lineRule="auto"/>
        <w:ind w:left="426" w:right="-613"/>
        <w:rPr>
          <w:rFonts w:ascii="Arial" w:eastAsia="Times New Roman" w:hAnsi="Arial" w:cs="Arial"/>
          <w:sz w:val="24"/>
          <w:szCs w:val="20"/>
          <w:lang w:eastAsia="en-GB"/>
        </w:rPr>
      </w:pPr>
      <w:r w:rsidRPr="00292E6F">
        <w:rPr>
          <w:rFonts w:ascii="Arial" w:eastAsia="Times New Roman" w:hAnsi="Arial" w:cs="Arial"/>
          <w:sz w:val="24"/>
          <w:szCs w:val="20"/>
          <w:lang w:eastAsia="en-GB"/>
        </w:rPr>
        <w:t>reasonably incurred by a PCC in the exercise of the commissioner’s functions.</w:t>
      </w:r>
    </w:p>
    <w:p w14:paraId="7219C333" w14:textId="77777777" w:rsidR="00AB46A0" w:rsidRPr="00292E6F" w:rsidRDefault="00AB46A0" w:rsidP="003525CF">
      <w:pPr>
        <w:spacing w:after="0" w:line="240" w:lineRule="auto"/>
        <w:ind w:left="426" w:right="-613"/>
        <w:rPr>
          <w:rFonts w:ascii="Arial" w:eastAsia="Times New Roman" w:hAnsi="Arial" w:cs="Arial"/>
          <w:sz w:val="24"/>
          <w:szCs w:val="20"/>
          <w:lang w:eastAsia="en-GB"/>
        </w:rPr>
      </w:pPr>
    </w:p>
    <w:p w14:paraId="616280C0" w14:textId="77777777" w:rsidR="00A953A0" w:rsidRDefault="00AB46A0" w:rsidP="003525CF">
      <w:pPr>
        <w:spacing w:after="0" w:line="240" w:lineRule="auto"/>
        <w:ind w:left="426" w:right="-613"/>
        <w:rPr>
          <w:rFonts w:ascii="Arial" w:eastAsia="Times New Roman" w:hAnsi="Arial" w:cs="Arial"/>
          <w:sz w:val="24"/>
          <w:szCs w:val="20"/>
          <w:lang w:eastAsia="en-GB"/>
        </w:rPr>
      </w:pPr>
      <w:r w:rsidRPr="00292E6F">
        <w:rPr>
          <w:rFonts w:ascii="Arial" w:eastAsia="Times New Roman" w:hAnsi="Arial" w:cs="Arial"/>
          <w:sz w:val="24"/>
          <w:szCs w:val="20"/>
          <w:lang w:eastAsia="en-GB"/>
        </w:rPr>
        <w:t xml:space="preserve">The amounts of such allowances determined by the Secretary of State are </w:t>
      </w:r>
      <w:r w:rsidR="00A953A0">
        <w:rPr>
          <w:rFonts w:ascii="Arial" w:eastAsia="Times New Roman" w:hAnsi="Arial" w:cs="Arial"/>
          <w:sz w:val="24"/>
          <w:szCs w:val="20"/>
          <w:lang w:eastAsia="en-GB"/>
        </w:rPr>
        <w:t>set out below.</w:t>
      </w:r>
    </w:p>
    <w:p w14:paraId="1AF21E18" w14:textId="77777777" w:rsidR="00A953A0" w:rsidRDefault="00A953A0" w:rsidP="003525CF">
      <w:pPr>
        <w:spacing w:after="0" w:line="240" w:lineRule="auto"/>
        <w:ind w:left="426" w:right="-613"/>
        <w:rPr>
          <w:rFonts w:ascii="Arial" w:eastAsia="Times New Roman" w:hAnsi="Arial" w:cs="Arial"/>
          <w:sz w:val="24"/>
          <w:szCs w:val="20"/>
          <w:lang w:eastAsia="en-GB"/>
        </w:rPr>
      </w:pPr>
    </w:p>
    <w:tbl>
      <w:tblPr>
        <w:tblStyle w:val="GridTable1Light-Accent6"/>
        <w:tblW w:w="9016" w:type="dxa"/>
        <w:tblInd w:w="421" w:type="dxa"/>
        <w:tblLook w:val="04A0" w:firstRow="1" w:lastRow="0" w:firstColumn="1" w:lastColumn="0" w:noHBand="0" w:noVBand="1"/>
      </w:tblPr>
      <w:tblGrid>
        <w:gridCol w:w="2799"/>
        <w:gridCol w:w="3615"/>
        <w:gridCol w:w="2602"/>
      </w:tblGrid>
      <w:tr w:rsidR="00AB46A0" w:rsidRPr="00D1734A" w14:paraId="6C850698" w14:textId="77777777" w:rsidTr="00810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79381D" w14:textId="77777777" w:rsidR="00AB46A0" w:rsidRPr="00D1734A" w:rsidRDefault="00AB46A0" w:rsidP="003525CF">
            <w:pPr>
              <w:ind w:right="-613"/>
              <w:rPr>
                <w:rFonts w:ascii="Arial" w:hAnsi="Arial" w:cs="Arial"/>
                <w:sz w:val="24"/>
                <w:szCs w:val="24"/>
              </w:rPr>
            </w:pPr>
            <w:r w:rsidRPr="00D1734A">
              <w:rPr>
                <w:rFonts w:ascii="Arial" w:hAnsi="Arial" w:cs="Arial"/>
                <w:bCs w:val="0"/>
                <w:sz w:val="24"/>
                <w:szCs w:val="24"/>
              </w:rPr>
              <w:t>Type of expense</w:t>
            </w:r>
          </w:p>
        </w:tc>
        <w:tc>
          <w:tcPr>
            <w:tcW w:w="0" w:type="auto"/>
            <w:hideMark/>
          </w:tcPr>
          <w:p w14:paraId="266A8F9F" w14:textId="77777777" w:rsidR="00AB46A0" w:rsidRPr="00D1734A" w:rsidRDefault="00AB46A0" w:rsidP="003525CF">
            <w:pPr>
              <w:ind w:right="-613"/>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D1734A">
              <w:rPr>
                <w:rFonts w:ascii="Arial" w:hAnsi="Arial" w:cs="Arial"/>
                <w:bCs w:val="0"/>
                <w:sz w:val="24"/>
                <w:szCs w:val="24"/>
              </w:rPr>
              <w:t>Key restriction</w:t>
            </w:r>
          </w:p>
        </w:tc>
        <w:tc>
          <w:tcPr>
            <w:tcW w:w="0" w:type="auto"/>
            <w:hideMark/>
          </w:tcPr>
          <w:p w14:paraId="61148D7E" w14:textId="77777777" w:rsidR="00AB46A0" w:rsidRPr="00D1734A" w:rsidRDefault="00AB46A0" w:rsidP="003525CF">
            <w:pPr>
              <w:ind w:right="-613"/>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D1734A">
              <w:rPr>
                <w:rFonts w:ascii="Arial" w:hAnsi="Arial" w:cs="Arial"/>
                <w:bCs w:val="0"/>
                <w:sz w:val="24"/>
                <w:szCs w:val="24"/>
              </w:rPr>
              <w:t>Rates</w:t>
            </w:r>
          </w:p>
        </w:tc>
      </w:tr>
      <w:tr w:rsidR="00AB46A0" w:rsidRPr="00D1734A" w14:paraId="64C1EA36" w14:textId="77777777" w:rsidTr="008104BA">
        <w:tc>
          <w:tcPr>
            <w:cnfStyle w:val="001000000000" w:firstRow="0" w:lastRow="0" w:firstColumn="1" w:lastColumn="0" w:oddVBand="0" w:evenVBand="0" w:oddHBand="0" w:evenHBand="0" w:firstRowFirstColumn="0" w:firstRowLastColumn="0" w:lastRowFirstColumn="0" w:lastRowLastColumn="0"/>
            <w:tcW w:w="0" w:type="auto"/>
            <w:hideMark/>
          </w:tcPr>
          <w:p w14:paraId="465ADDAB" w14:textId="77777777" w:rsidR="00AB46A0" w:rsidRPr="00D1734A" w:rsidRDefault="00AB46A0" w:rsidP="00FE7CB6">
            <w:pPr>
              <w:ind w:right="-2"/>
              <w:rPr>
                <w:rFonts w:ascii="Arial" w:hAnsi="Arial" w:cs="Arial"/>
                <w:b w:val="0"/>
                <w:bCs w:val="0"/>
                <w:sz w:val="24"/>
                <w:szCs w:val="24"/>
              </w:rPr>
            </w:pPr>
            <w:r w:rsidRPr="00D1734A">
              <w:rPr>
                <w:rFonts w:ascii="Arial" w:hAnsi="Arial" w:cs="Arial"/>
                <w:sz w:val="24"/>
                <w:szCs w:val="24"/>
              </w:rPr>
              <w:t>Train</w:t>
            </w:r>
          </w:p>
        </w:tc>
        <w:tc>
          <w:tcPr>
            <w:tcW w:w="0" w:type="auto"/>
            <w:hideMark/>
          </w:tcPr>
          <w:p w14:paraId="26F6CB0E" w14:textId="77777777" w:rsidR="00AB46A0" w:rsidRPr="00D1734A" w:rsidRDefault="00AB46A0" w:rsidP="00FE7CB6">
            <w:pPr>
              <w:ind w:righ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1734A">
              <w:rPr>
                <w:rFonts w:ascii="Arial" w:hAnsi="Arial" w:cs="Arial"/>
                <w:sz w:val="24"/>
                <w:szCs w:val="24"/>
              </w:rPr>
              <w:t>In course of business</w:t>
            </w:r>
          </w:p>
        </w:tc>
        <w:tc>
          <w:tcPr>
            <w:tcW w:w="0" w:type="auto"/>
            <w:hideMark/>
          </w:tcPr>
          <w:p w14:paraId="64D89B12" w14:textId="77777777" w:rsidR="00AB46A0" w:rsidRPr="00D1734A" w:rsidRDefault="00AB46A0" w:rsidP="00FE7CB6">
            <w:pPr>
              <w:ind w:right="-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1734A">
              <w:rPr>
                <w:rFonts w:ascii="Arial" w:hAnsi="Arial" w:cs="Arial"/>
                <w:sz w:val="24"/>
                <w:szCs w:val="24"/>
              </w:rPr>
              <w:t>Reimbursed up to standard class rates</w:t>
            </w:r>
          </w:p>
        </w:tc>
      </w:tr>
      <w:tr w:rsidR="00AB46A0" w:rsidRPr="00D1734A" w14:paraId="36E5E2E6" w14:textId="77777777" w:rsidTr="008104BA">
        <w:tc>
          <w:tcPr>
            <w:cnfStyle w:val="001000000000" w:firstRow="0" w:lastRow="0" w:firstColumn="1" w:lastColumn="0" w:oddVBand="0" w:evenVBand="0" w:oddHBand="0" w:evenHBand="0" w:firstRowFirstColumn="0" w:firstRowLastColumn="0" w:lastRowFirstColumn="0" w:lastRowLastColumn="0"/>
            <w:tcW w:w="0" w:type="auto"/>
            <w:hideMark/>
          </w:tcPr>
          <w:p w14:paraId="7E43104D" w14:textId="77777777" w:rsidR="00AB46A0" w:rsidRPr="00D1734A" w:rsidRDefault="00AB46A0" w:rsidP="00FE7CB6">
            <w:pPr>
              <w:ind w:right="-2"/>
              <w:rPr>
                <w:rFonts w:ascii="Arial" w:hAnsi="Arial" w:cs="Arial"/>
                <w:sz w:val="24"/>
                <w:szCs w:val="24"/>
              </w:rPr>
            </w:pPr>
            <w:r w:rsidRPr="00D1734A">
              <w:rPr>
                <w:rFonts w:ascii="Arial" w:hAnsi="Arial" w:cs="Arial"/>
                <w:sz w:val="24"/>
                <w:szCs w:val="24"/>
              </w:rPr>
              <w:t>Mileage allowances</w:t>
            </w:r>
          </w:p>
        </w:tc>
        <w:tc>
          <w:tcPr>
            <w:tcW w:w="0" w:type="auto"/>
            <w:hideMark/>
          </w:tcPr>
          <w:p w14:paraId="6DD54F62" w14:textId="77777777" w:rsidR="00AB46A0" w:rsidRPr="00D1734A" w:rsidRDefault="00AB46A0" w:rsidP="00FE7CB6">
            <w:pPr>
              <w:ind w:righ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1734A">
              <w:rPr>
                <w:rFonts w:ascii="Arial" w:hAnsi="Arial" w:cs="Arial"/>
                <w:sz w:val="24"/>
                <w:szCs w:val="24"/>
              </w:rPr>
              <w:t>Only if necessary</w:t>
            </w:r>
          </w:p>
        </w:tc>
        <w:tc>
          <w:tcPr>
            <w:tcW w:w="0" w:type="auto"/>
            <w:hideMark/>
          </w:tcPr>
          <w:p w14:paraId="2B5354B8" w14:textId="77777777" w:rsidR="00AB46A0" w:rsidRPr="00D1734A" w:rsidRDefault="00AB46A0" w:rsidP="00FE7CB6">
            <w:pPr>
              <w:ind w:right="-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1734A">
              <w:rPr>
                <w:rFonts w:ascii="Arial" w:hAnsi="Arial" w:cs="Arial"/>
                <w:sz w:val="24"/>
                <w:szCs w:val="24"/>
              </w:rPr>
              <w:t>As per HMRC rates</w:t>
            </w:r>
          </w:p>
        </w:tc>
      </w:tr>
      <w:tr w:rsidR="00AB46A0" w:rsidRPr="00D1734A" w14:paraId="07A96AAD" w14:textId="77777777" w:rsidTr="008104BA">
        <w:tc>
          <w:tcPr>
            <w:cnfStyle w:val="001000000000" w:firstRow="0" w:lastRow="0" w:firstColumn="1" w:lastColumn="0" w:oddVBand="0" w:evenVBand="0" w:oddHBand="0" w:evenHBand="0" w:firstRowFirstColumn="0" w:firstRowLastColumn="0" w:lastRowFirstColumn="0" w:lastRowLastColumn="0"/>
            <w:tcW w:w="0" w:type="auto"/>
            <w:hideMark/>
          </w:tcPr>
          <w:p w14:paraId="2C3E530B" w14:textId="77777777" w:rsidR="00AB46A0" w:rsidRPr="00D1734A" w:rsidRDefault="00AB46A0" w:rsidP="00FE7CB6">
            <w:pPr>
              <w:ind w:right="-2"/>
              <w:rPr>
                <w:rFonts w:ascii="Arial" w:hAnsi="Arial" w:cs="Arial"/>
                <w:sz w:val="24"/>
                <w:szCs w:val="24"/>
              </w:rPr>
            </w:pPr>
            <w:r w:rsidRPr="00D1734A">
              <w:rPr>
                <w:rFonts w:ascii="Arial" w:hAnsi="Arial" w:cs="Arial"/>
                <w:sz w:val="24"/>
                <w:szCs w:val="24"/>
              </w:rPr>
              <w:t>Taxis</w:t>
            </w:r>
          </w:p>
        </w:tc>
        <w:tc>
          <w:tcPr>
            <w:tcW w:w="0" w:type="auto"/>
            <w:hideMark/>
          </w:tcPr>
          <w:p w14:paraId="6E049D64" w14:textId="77777777" w:rsidR="00AB46A0" w:rsidRPr="00D1734A" w:rsidRDefault="00AB46A0" w:rsidP="00FE7CB6">
            <w:pPr>
              <w:ind w:righ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1734A">
              <w:rPr>
                <w:rFonts w:ascii="Arial" w:hAnsi="Arial" w:cs="Arial"/>
                <w:sz w:val="24"/>
                <w:szCs w:val="24"/>
              </w:rPr>
              <w:t>Only where public transport not available</w:t>
            </w:r>
          </w:p>
        </w:tc>
        <w:tc>
          <w:tcPr>
            <w:tcW w:w="0" w:type="auto"/>
            <w:hideMark/>
          </w:tcPr>
          <w:p w14:paraId="421701B6" w14:textId="77777777" w:rsidR="00AB46A0" w:rsidRPr="00D1734A" w:rsidRDefault="00AB46A0" w:rsidP="00FE7CB6">
            <w:pPr>
              <w:ind w:right="-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1734A">
              <w:rPr>
                <w:rFonts w:ascii="Arial" w:hAnsi="Arial" w:cs="Arial"/>
                <w:sz w:val="24"/>
                <w:szCs w:val="24"/>
              </w:rPr>
              <w:t>Cost of taxi fare</w:t>
            </w:r>
          </w:p>
        </w:tc>
      </w:tr>
      <w:tr w:rsidR="00AB46A0" w:rsidRPr="00D1734A" w14:paraId="52CC9FAE" w14:textId="77777777" w:rsidTr="008104BA">
        <w:tc>
          <w:tcPr>
            <w:cnfStyle w:val="001000000000" w:firstRow="0" w:lastRow="0" w:firstColumn="1" w:lastColumn="0" w:oddVBand="0" w:evenVBand="0" w:oddHBand="0" w:evenHBand="0" w:firstRowFirstColumn="0" w:firstRowLastColumn="0" w:lastRowFirstColumn="0" w:lastRowLastColumn="0"/>
            <w:tcW w:w="0" w:type="auto"/>
            <w:hideMark/>
          </w:tcPr>
          <w:p w14:paraId="096E343C" w14:textId="77777777" w:rsidR="00AB46A0" w:rsidRPr="00D1734A" w:rsidRDefault="00AB46A0" w:rsidP="00FE7CB6">
            <w:pPr>
              <w:ind w:right="-2"/>
              <w:rPr>
                <w:rFonts w:ascii="Arial" w:hAnsi="Arial" w:cs="Arial"/>
                <w:sz w:val="24"/>
                <w:szCs w:val="24"/>
              </w:rPr>
            </w:pPr>
            <w:r w:rsidRPr="00D1734A">
              <w:rPr>
                <w:rFonts w:ascii="Arial" w:hAnsi="Arial" w:cs="Arial"/>
                <w:sz w:val="24"/>
                <w:szCs w:val="24"/>
              </w:rPr>
              <w:t>Foreign travel</w:t>
            </w:r>
          </w:p>
        </w:tc>
        <w:tc>
          <w:tcPr>
            <w:tcW w:w="0" w:type="auto"/>
            <w:hideMark/>
          </w:tcPr>
          <w:p w14:paraId="63D69CEA" w14:textId="77777777" w:rsidR="00AB46A0" w:rsidRPr="00D1734A" w:rsidRDefault="00AB46A0" w:rsidP="00FE7CB6">
            <w:pPr>
              <w:ind w:righ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1734A">
              <w:rPr>
                <w:rFonts w:ascii="Arial" w:hAnsi="Arial" w:cs="Arial"/>
                <w:sz w:val="24"/>
                <w:szCs w:val="24"/>
              </w:rPr>
              <w:t>Prior authority from chief executive and for business purposes</w:t>
            </w:r>
          </w:p>
        </w:tc>
        <w:tc>
          <w:tcPr>
            <w:tcW w:w="0" w:type="auto"/>
            <w:hideMark/>
          </w:tcPr>
          <w:p w14:paraId="3B4EA2E9" w14:textId="77777777" w:rsidR="00AB46A0" w:rsidRPr="00D1734A" w:rsidRDefault="00AB46A0" w:rsidP="00FE7CB6">
            <w:pPr>
              <w:ind w:right="-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1734A">
              <w:rPr>
                <w:rFonts w:ascii="Arial" w:hAnsi="Arial" w:cs="Arial"/>
                <w:sz w:val="24"/>
                <w:szCs w:val="24"/>
              </w:rPr>
              <w:t>Economy class for flights</w:t>
            </w:r>
          </w:p>
        </w:tc>
      </w:tr>
      <w:tr w:rsidR="00AB46A0" w:rsidRPr="00D1734A" w14:paraId="24B30BD7" w14:textId="77777777" w:rsidTr="008104BA">
        <w:tc>
          <w:tcPr>
            <w:cnfStyle w:val="001000000000" w:firstRow="0" w:lastRow="0" w:firstColumn="1" w:lastColumn="0" w:oddVBand="0" w:evenVBand="0" w:oddHBand="0" w:evenHBand="0" w:firstRowFirstColumn="0" w:firstRowLastColumn="0" w:lastRowFirstColumn="0" w:lastRowLastColumn="0"/>
            <w:tcW w:w="0" w:type="auto"/>
            <w:hideMark/>
          </w:tcPr>
          <w:p w14:paraId="0F16CAA7" w14:textId="77777777" w:rsidR="00AB46A0" w:rsidRPr="00D1734A" w:rsidRDefault="00AB46A0" w:rsidP="00FE7CB6">
            <w:pPr>
              <w:ind w:right="-2"/>
              <w:rPr>
                <w:rFonts w:ascii="Arial" w:hAnsi="Arial" w:cs="Arial"/>
                <w:sz w:val="24"/>
                <w:szCs w:val="24"/>
              </w:rPr>
            </w:pPr>
            <w:r w:rsidRPr="00D1734A">
              <w:rPr>
                <w:rFonts w:ascii="Arial" w:hAnsi="Arial" w:cs="Arial"/>
                <w:sz w:val="24"/>
                <w:szCs w:val="24"/>
              </w:rPr>
              <w:t>Hotel accommodation</w:t>
            </w:r>
          </w:p>
        </w:tc>
        <w:tc>
          <w:tcPr>
            <w:tcW w:w="0" w:type="auto"/>
            <w:hideMark/>
          </w:tcPr>
          <w:p w14:paraId="7869267B" w14:textId="77777777" w:rsidR="00AB46A0" w:rsidRPr="00D1734A" w:rsidRDefault="00AB46A0" w:rsidP="00FE7CB6">
            <w:pPr>
              <w:ind w:righ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1734A">
              <w:rPr>
                <w:rFonts w:ascii="Arial" w:hAnsi="Arial" w:cs="Arial"/>
                <w:sz w:val="24"/>
                <w:szCs w:val="24"/>
              </w:rPr>
              <w:t>Business purposes and agreed in advance. Value for money and best use of public funds - lower priced suitable accommodation</w:t>
            </w:r>
          </w:p>
        </w:tc>
        <w:tc>
          <w:tcPr>
            <w:tcW w:w="0" w:type="auto"/>
            <w:hideMark/>
          </w:tcPr>
          <w:p w14:paraId="74F63743" w14:textId="77777777" w:rsidR="00AB46A0" w:rsidRPr="00D1734A" w:rsidRDefault="00AB46A0" w:rsidP="00FE7CB6">
            <w:pPr>
              <w:ind w:right="-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1734A">
              <w:rPr>
                <w:rFonts w:ascii="Arial" w:hAnsi="Arial" w:cs="Arial"/>
                <w:sz w:val="24"/>
                <w:szCs w:val="24"/>
              </w:rPr>
              <w:t>No explicit limitation on star standard of hotel accommodation</w:t>
            </w:r>
          </w:p>
        </w:tc>
      </w:tr>
      <w:tr w:rsidR="00AB46A0" w:rsidRPr="00D1734A" w14:paraId="4CA9BD60" w14:textId="77777777" w:rsidTr="008104BA">
        <w:tc>
          <w:tcPr>
            <w:cnfStyle w:val="001000000000" w:firstRow="0" w:lastRow="0" w:firstColumn="1" w:lastColumn="0" w:oddVBand="0" w:evenVBand="0" w:oddHBand="0" w:evenHBand="0" w:firstRowFirstColumn="0" w:firstRowLastColumn="0" w:lastRowFirstColumn="0" w:lastRowLastColumn="0"/>
            <w:tcW w:w="0" w:type="auto"/>
            <w:hideMark/>
          </w:tcPr>
          <w:p w14:paraId="03D9EC62" w14:textId="77777777" w:rsidR="00AB46A0" w:rsidRPr="00D1734A" w:rsidRDefault="00AB46A0" w:rsidP="00FE7CB6">
            <w:pPr>
              <w:ind w:right="-2"/>
              <w:rPr>
                <w:rFonts w:ascii="Arial" w:hAnsi="Arial" w:cs="Arial"/>
                <w:sz w:val="24"/>
                <w:szCs w:val="24"/>
              </w:rPr>
            </w:pPr>
            <w:r w:rsidRPr="00D1734A">
              <w:rPr>
                <w:rFonts w:ascii="Arial" w:hAnsi="Arial" w:cs="Arial"/>
                <w:sz w:val="24"/>
                <w:szCs w:val="24"/>
              </w:rPr>
              <w:lastRenderedPageBreak/>
              <w:t>Subsistence (UK and foreign)</w:t>
            </w:r>
          </w:p>
        </w:tc>
        <w:tc>
          <w:tcPr>
            <w:tcW w:w="0" w:type="auto"/>
            <w:hideMark/>
          </w:tcPr>
          <w:p w14:paraId="5A4E24B2" w14:textId="77777777" w:rsidR="00AB46A0" w:rsidRPr="00D1734A" w:rsidRDefault="00AB46A0" w:rsidP="00FE7CB6">
            <w:pPr>
              <w:ind w:righ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1734A">
              <w:rPr>
                <w:rFonts w:ascii="Arial" w:hAnsi="Arial" w:cs="Arial"/>
                <w:sz w:val="24"/>
                <w:szCs w:val="24"/>
              </w:rPr>
              <w:t>Only paid for evening meals and, where applicable, breakfast (not lunch)</w:t>
            </w:r>
          </w:p>
        </w:tc>
        <w:tc>
          <w:tcPr>
            <w:tcW w:w="0" w:type="auto"/>
            <w:hideMark/>
          </w:tcPr>
          <w:p w14:paraId="02E2AA3E" w14:textId="77777777" w:rsidR="00AB46A0" w:rsidRPr="00D1734A" w:rsidRDefault="00AB46A0" w:rsidP="00FE7CB6">
            <w:pPr>
              <w:ind w:right="-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1734A">
              <w:rPr>
                <w:rFonts w:ascii="Arial" w:hAnsi="Arial" w:cs="Arial"/>
                <w:sz w:val="24"/>
                <w:szCs w:val="24"/>
              </w:rPr>
              <w:t>Breakfast £10, Dinner £30</w:t>
            </w:r>
          </w:p>
        </w:tc>
      </w:tr>
      <w:tr w:rsidR="00AB46A0" w:rsidRPr="00D1734A" w14:paraId="599D9937" w14:textId="77777777" w:rsidTr="008104BA">
        <w:tc>
          <w:tcPr>
            <w:cnfStyle w:val="001000000000" w:firstRow="0" w:lastRow="0" w:firstColumn="1" w:lastColumn="0" w:oddVBand="0" w:evenVBand="0" w:oddHBand="0" w:evenHBand="0" w:firstRowFirstColumn="0" w:firstRowLastColumn="0" w:lastRowFirstColumn="0" w:lastRowLastColumn="0"/>
            <w:tcW w:w="0" w:type="auto"/>
            <w:hideMark/>
          </w:tcPr>
          <w:p w14:paraId="26D2F634" w14:textId="77777777" w:rsidR="00AB46A0" w:rsidRPr="00D1734A" w:rsidRDefault="00AB46A0" w:rsidP="00FE7CB6">
            <w:pPr>
              <w:ind w:right="-2"/>
              <w:rPr>
                <w:rFonts w:ascii="Arial" w:hAnsi="Arial" w:cs="Arial"/>
                <w:sz w:val="24"/>
                <w:szCs w:val="24"/>
              </w:rPr>
            </w:pPr>
            <w:r w:rsidRPr="00D1734A">
              <w:rPr>
                <w:rFonts w:ascii="Arial" w:hAnsi="Arial" w:cs="Arial"/>
                <w:sz w:val="24"/>
                <w:szCs w:val="24"/>
              </w:rPr>
              <w:t>Exceptional expenses not falling within any of the other types</w:t>
            </w:r>
          </w:p>
        </w:tc>
        <w:tc>
          <w:tcPr>
            <w:tcW w:w="0" w:type="auto"/>
            <w:hideMark/>
          </w:tcPr>
          <w:p w14:paraId="063BE9B5" w14:textId="77777777" w:rsidR="00AB46A0" w:rsidRPr="00D1734A" w:rsidRDefault="00AB46A0" w:rsidP="00FE7CB6">
            <w:pPr>
              <w:ind w:righ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1734A">
              <w:rPr>
                <w:rFonts w:ascii="Arial" w:hAnsi="Arial" w:cs="Arial"/>
                <w:sz w:val="24"/>
                <w:szCs w:val="24"/>
              </w:rPr>
              <w:t>Reasonable incurred in carrying out business of the authority</w:t>
            </w:r>
          </w:p>
        </w:tc>
        <w:tc>
          <w:tcPr>
            <w:tcW w:w="0" w:type="auto"/>
            <w:hideMark/>
          </w:tcPr>
          <w:p w14:paraId="43817CCD" w14:textId="77777777" w:rsidR="00AB46A0" w:rsidRPr="00D1734A" w:rsidRDefault="00AB46A0" w:rsidP="00FE7CB6">
            <w:pPr>
              <w:ind w:right="-2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1734A">
              <w:rPr>
                <w:rFonts w:ascii="Arial" w:hAnsi="Arial" w:cs="Arial"/>
                <w:sz w:val="24"/>
                <w:szCs w:val="24"/>
              </w:rPr>
              <w:t>As approved by the chief executive</w:t>
            </w:r>
          </w:p>
        </w:tc>
      </w:tr>
    </w:tbl>
    <w:p w14:paraId="0E0BBD88" w14:textId="77777777" w:rsidR="00AB46A0" w:rsidRPr="00D1734A" w:rsidRDefault="00AB46A0" w:rsidP="003525CF">
      <w:pPr>
        <w:spacing w:before="100" w:beforeAutospacing="1" w:after="100" w:afterAutospacing="1" w:line="240" w:lineRule="auto"/>
        <w:ind w:left="426" w:right="-613"/>
        <w:rPr>
          <w:rFonts w:ascii="Arial" w:eastAsia="Times New Roman" w:hAnsi="Arial" w:cs="Arial"/>
          <w:sz w:val="24"/>
          <w:szCs w:val="24"/>
          <w:lang w:val="en" w:eastAsia="en-GB"/>
        </w:rPr>
      </w:pPr>
      <w:r>
        <w:rPr>
          <w:rFonts w:ascii="Arial" w:eastAsia="Times New Roman" w:hAnsi="Arial" w:cs="Arial"/>
          <w:sz w:val="24"/>
          <w:szCs w:val="24"/>
          <w:lang w:val="en" w:eastAsia="en-GB"/>
        </w:rPr>
        <w:t>The PCC’s Chief E</w:t>
      </w:r>
      <w:r w:rsidRPr="00D1734A">
        <w:rPr>
          <w:rFonts w:ascii="Arial" w:eastAsia="Times New Roman" w:hAnsi="Arial" w:cs="Arial"/>
          <w:sz w:val="24"/>
          <w:szCs w:val="24"/>
          <w:lang w:val="en" w:eastAsia="en-GB"/>
        </w:rPr>
        <w:t xml:space="preserve">xecutive will subject all of the </w:t>
      </w:r>
      <w:r>
        <w:rPr>
          <w:rFonts w:ascii="Arial" w:eastAsia="Times New Roman" w:hAnsi="Arial" w:cs="Arial"/>
          <w:sz w:val="24"/>
          <w:szCs w:val="24"/>
          <w:lang w:val="en" w:eastAsia="en-GB"/>
        </w:rPr>
        <w:t>C</w:t>
      </w:r>
      <w:r w:rsidRPr="00D1734A">
        <w:rPr>
          <w:rFonts w:ascii="Arial" w:eastAsia="Times New Roman" w:hAnsi="Arial" w:cs="Arial"/>
          <w:sz w:val="24"/>
          <w:szCs w:val="24"/>
          <w:lang w:val="en" w:eastAsia="en-GB"/>
        </w:rPr>
        <w:t>ommissioner’s claims for expenses to rigorous verification and auditing.</w:t>
      </w:r>
    </w:p>
    <w:p w14:paraId="7372C91E" w14:textId="77777777" w:rsidR="00AB46A0" w:rsidRPr="00D1734A" w:rsidRDefault="00AB46A0" w:rsidP="003525CF">
      <w:pPr>
        <w:spacing w:before="100" w:beforeAutospacing="1" w:after="100" w:afterAutospacing="1" w:line="240" w:lineRule="auto"/>
        <w:ind w:left="426" w:right="-613"/>
        <w:rPr>
          <w:rFonts w:ascii="Arial" w:eastAsia="Times New Roman" w:hAnsi="Arial" w:cs="Arial"/>
          <w:sz w:val="24"/>
          <w:szCs w:val="24"/>
          <w:lang w:val="en" w:eastAsia="en-GB"/>
        </w:rPr>
      </w:pPr>
      <w:r w:rsidRPr="00D1734A">
        <w:rPr>
          <w:rFonts w:ascii="Arial" w:eastAsia="Times New Roman" w:hAnsi="Arial" w:cs="Arial"/>
          <w:sz w:val="24"/>
          <w:szCs w:val="24"/>
          <w:lang w:val="en" w:eastAsia="en-GB"/>
        </w:rPr>
        <w:t>Any claims for exceptional expenses incurred by the commissioner in the exercise of the commissioner’s functions requires the approval of the commissioner’s chief executive. In considering whether to grant this approval the chief executive shall take into account the following factors:</w:t>
      </w:r>
    </w:p>
    <w:p w14:paraId="159A8561" w14:textId="77777777" w:rsidR="00AB46A0" w:rsidRPr="00DE1F6E" w:rsidRDefault="00AB46A0" w:rsidP="003525CF">
      <w:pPr>
        <w:pStyle w:val="ListParagraph"/>
        <w:numPr>
          <w:ilvl w:val="0"/>
          <w:numId w:val="21"/>
        </w:numPr>
        <w:spacing w:before="100" w:beforeAutospacing="1" w:after="100" w:afterAutospacing="1" w:line="240" w:lineRule="auto"/>
        <w:ind w:right="-613"/>
        <w:rPr>
          <w:rFonts w:ascii="Arial" w:eastAsia="Times New Roman" w:hAnsi="Arial" w:cs="Arial"/>
          <w:sz w:val="24"/>
          <w:szCs w:val="24"/>
          <w:lang w:val="en" w:eastAsia="en-GB"/>
        </w:rPr>
      </w:pPr>
      <w:r w:rsidRPr="00DE1F6E">
        <w:rPr>
          <w:rFonts w:ascii="Arial" w:eastAsia="Times New Roman" w:hAnsi="Arial" w:cs="Arial"/>
          <w:sz w:val="24"/>
          <w:szCs w:val="24"/>
          <w:lang w:val="en" w:eastAsia="en-GB"/>
        </w:rPr>
        <w:t>whether there are exceptional circumstances warranting additional support</w:t>
      </w:r>
    </w:p>
    <w:p w14:paraId="63FB88EB" w14:textId="77777777" w:rsidR="00AB46A0" w:rsidRPr="00DE1F6E" w:rsidRDefault="00AB46A0" w:rsidP="003525CF">
      <w:pPr>
        <w:pStyle w:val="ListParagraph"/>
        <w:numPr>
          <w:ilvl w:val="0"/>
          <w:numId w:val="21"/>
        </w:numPr>
        <w:spacing w:before="100" w:beforeAutospacing="1" w:after="100" w:afterAutospacing="1" w:line="240" w:lineRule="auto"/>
        <w:ind w:right="-613"/>
        <w:rPr>
          <w:rFonts w:ascii="Arial" w:eastAsia="Times New Roman" w:hAnsi="Arial" w:cs="Arial"/>
          <w:sz w:val="24"/>
          <w:szCs w:val="24"/>
          <w:lang w:val="en" w:eastAsia="en-GB"/>
        </w:rPr>
      </w:pPr>
      <w:r w:rsidRPr="00DE1F6E">
        <w:rPr>
          <w:rFonts w:ascii="Arial" w:eastAsia="Times New Roman" w:hAnsi="Arial" w:cs="Arial"/>
          <w:sz w:val="24"/>
          <w:szCs w:val="24"/>
          <w:lang w:val="en" w:eastAsia="en-GB"/>
        </w:rPr>
        <w:t>whether the Commissioner could reasonably have been expected to take any action to avoid the circumstances which gave rise to the expenditure or liability</w:t>
      </w:r>
    </w:p>
    <w:p w14:paraId="43C07F6E" w14:textId="77777777" w:rsidR="00AB46A0" w:rsidRPr="00DE1F6E" w:rsidRDefault="00AB46A0" w:rsidP="003525CF">
      <w:pPr>
        <w:pStyle w:val="ListParagraph"/>
        <w:numPr>
          <w:ilvl w:val="0"/>
          <w:numId w:val="21"/>
        </w:numPr>
        <w:spacing w:before="100" w:beforeAutospacing="1" w:after="100" w:afterAutospacing="1" w:line="240" w:lineRule="auto"/>
        <w:ind w:right="-613"/>
        <w:rPr>
          <w:rFonts w:ascii="Arial" w:eastAsia="Times New Roman" w:hAnsi="Arial" w:cs="Arial"/>
          <w:sz w:val="24"/>
          <w:szCs w:val="24"/>
          <w:lang w:val="en" w:eastAsia="en-GB"/>
        </w:rPr>
      </w:pPr>
      <w:r w:rsidRPr="00DE1F6E">
        <w:rPr>
          <w:rFonts w:ascii="Arial" w:eastAsia="Times New Roman" w:hAnsi="Arial" w:cs="Arial"/>
          <w:sz w:val="24"/>
          <w:szCs w:val="24"/>
          <w:lang w:val="en" w:eastAsia="en-GB"/>
        </w:rPr>
        <w:t>whether the Commissioner’s performance of their Commissioner functions will be significantly impaired by a refusal of the claim</w:t>
      </w:r>
    </w:p>
    <w:p w14:paraId="4AE5738E" w14:textId="77777777" w:rsidR="00AB46A0" w:rsidRPr="00D1734A" w:rsidRDefault="00AB46A0" w:rsidP="003525CF">
      <w:pPr>
        <w:spacing w:before="100" w:beforeAutospacing="1" w:after="100" w:afterAutospacing="1" w:line="240" w:lineRule="auto"/>
        <w:ind w:left="426" w:right="-613"/>
        <w:rPr>
          <w:rFonts w:ascii="Arial" w:eastAsia="Times New Roman" w:hAnsi="Arial" w:cs="Arial"/>
          <w:sz w:val="24"/>
          <w:szCs w:val="24"/>
          <w:lang w:val="en" w:eastAsia="en-GB"/>
        </w:rPr>
      </w:pPr>
      <w:r w:rsidRPr="00D1734A">
        <w:rPr>
          <w:rFonts w:ascii="Arial" w:eastAsia="Times New Roman" w:hAnsi="Arial" w:cs="Arial"/>
          <w:sz w:val="24"/>
          <w:szCs w:val="24"/>
          <w:lang w:val="en" w:eastAsia="en-GB"/>
        </w:rPr>
        <w:t>Under paragraph 1(d) of the Schedule to the Elected Local Policing Bodies (Specified Information) Order 2011, PCCs are required to publish the allowances paid to them and to their deputies in respect of expe</w:t>
      </w:r>
      <w:r>
        <w:rPr>
          <w:rFonts w:ascii="Arial" w:eastAsia="Times New Roman" w:hAnsi="Arial" w:cs="Arial"/>
          <w:sz w:val="24"/>
          <w:szCs w:val="24"/>
          <w:lang w:val="en" w:eastAsia="en-GB"/>
        </w:rPr>
        <w:t>nses incurred by the C</w:t>
      </w:r>
      <w:r w:rsidRPr="00D1734A">
        <w:rPr>
          <w:rFonts w:ascii="Arial" w:eastAsia="Times New Roman" w:hAnsi="Arial" w:cs="Arial"/>
          <w:sz w:val="24"/>
          <w:szCs w:val="24"/>
          <w:lang w:val="en" w:eastAsia="en-GB"/>
        </w:rPr>
        <w:t xml:space="preserve">ommissioner or </w:t>
      </w:r>
      <w:r>
        <w:rPr>
          <w:rFonts w:ascii="Arial" w:eastAsia="Times New Roman" w:hAnsi="Arial" w:cs="Arial"/>
          <w:sz w:val="24"/>
          <w:szCs w:val="24"/>
          <w:lang w:val="en" w:eastAsia="en-GB"/>
        </w:rPr>
        <w:t>D</w:t>
      </w:r>
      <w:r w:rsidRPr="00D1734A">
        <w:rPr>
          <w:rFonts w:ascii="Arial" w:eastAsia="Times New Roman" w:hAnsi="Arial" w:cs="Arial"/>
          <w:sz w:val="24"/>
          <w:szCs w:val="24"/>
          <w:lang w:val="en" w:eastAsia="en-GB"/>
        </w:rPr>
        <w:t>eputy in the exercise of the commissioner’s functions.</w:t>
      </w:r>
    </w:p>
    <w:p w14:paraId="5F8EEB32" w14:textId="77777777" w:rsidR="00AB46A0" w:rsidRPr="00D1734A" w:rsidRDefault="00AB46A0" w:rsidP="003525CF">
      <w:pPr>
        <w:spacing w:before="100" w:beforeAutospacing="1" w:after="100" w:afterAutospacing="1" w:line="240" w:lineRule="auto"/>
        <w:ind w:left="426" w:right="-613"/>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 breakdown of expenses incurred by </w:t>
      </w:r>
      <w:r w:rsidRPr="00D1734A">
        <w:rPr>
          <w:rFonts w:ascii="Arial" w:eastAsia="Times New Roman" w:hAnsi="Arial" w:cs="Arial"/>
          <w:sz w:val="24"/>
          <w:szCs w:val="24"/>
          <w:lang w:val="en" w:eastAsia="en-GB"/>
        </w:rPr>
        <w:t>PCCs and their deputies</w:t>
      </w:r>
      <w:r>
        <w:rPr>
          <w:rFonts w:ascii="Arial" w:eastAsia="Times New Roman" w:hAnsi="Arial" w:cs="Arial"/>
          <w:sz w:val="24"/>
          <w:szCs w:val="24"/>
          <w:lang w:val="en" w:eastAsia="en-GB"/>
        </w:rPr>
        <w:t xml:space="preserve"> (where appointed) will be published on the Office of the PCCs website. This will include: </w:t>
      </w:r>
    </w:p>
    <w:p w14:paraId="08E1CA7D" w14:textId="77777777" w:rsidR="00AB46A0" w:rsidRPr="00D1734A" w:rsidRDefault="00AB46A0" w:rsidP="003525CF">
      <w:pPr>
        <w:numPr>
          <w:ilvl w:val="0"/>
          <w:numId w:val="15"/>
        </w:numPr>
        <w:spacing w:before="100" w:beforeAutospacing="1" w:after="100" w:afterAutospacing="1" w:line="240" w:lineRule="auto"/>
        <w:ind w:left="851" w:right="-613"/>
        <w:rPr>
          <w:rFonts w:ascii="Arial" w:eastAsia="Times New Roman" w:hAnsi="Arial" w:cs="Arial"/>
          <w:sz w:val="24"/>
          <w:szCs w:val="24"/>
          <w:lang w:val="en" w:eastAsia="en-GB"/>
        </w:rPr>
      </w:pPr>
      <w:r>
        <w:rPr>
          <w:rFonts w:ascii="Arial" w:eastAsia="Times New Roman" w:hAnsi="Arial" w:cs="Arial"/>
          <w:sz w:val="24"/>
          <w:szCs w:val="24"/>
          <w:lang w:val="en" w:eastAsia="en-GB"/>
        </w:rPr>
        <w:t>the</w:t>
      </w:r>
      <w:r w:rsidRPr="00D1734A">
        <w:rPr>
          <w:rFonts w:ascii="Arial" w:eastAsia="Times New Roman" w:hAnsi="Arial" w:cs="Arial"/>
          <w:sz w:val="24"/>
          <w:szCs w:val="24"/>
          <w:lang w:val="en" w:eastAsia="en-GB"/>
        </w:rPr>
        <w:t xml:space="preserve"> name, force area, financial year, month, date, claim reference numbers, expense type (e.g. travel, accommodation), short description, details, amount claimed, amount reimbursed, amount not reimbursed, and the reason why a claim was not reimbursed</w:t>
      </w:r>
    </w:p>
    <w:p w14:paraId="5921D169" w14:textId="77777777" w:rsidR="00AB46A0" w:rsidRDefault="00AB46A0" w:rsidP="003525CF">
      <w:pPr>
        <w:numPr>
          <w:ilvl w:val="0"/>
          <w:numId w:val="15"/>
        </w:numPr>
        <w:spacing w:before="100" w:beforeAutospacing="1" w:after="100" w:afterAutospacing="1" w:line="240" w:lineRule="auto"/>
        <w:ind w:left="851" w:right="-613"/>
        <w:rPr>
          <w:rFonts w:ascii="Arial" w:eastAsia="Times New Roman" w:hAnsi="Arial" w:cs="Arial"/>
          <w:sz w:val="24"/>
          <w:szCs w:val="24"/>
          <w:lang w:val="en" w:eastAsia="en-GB"/>
        </w:rPr>
      </w:pPr>
      <w:r w:rsidRPr="00D1734A">
        <w:rPr>
          <w:rFonts w:ascii="Arial" w:eastAsia="Times New Roman" w:hAnsi="Arial" w:cs="Arial"/>
          <w:sz w:val="24"/>
          <w:szCs w:val="24"/>
          <w:lang w:val="en" w:eastAsia="en-GB"/>
        </w:rPr>
        <w:t xml:space="preserve">for travel and subsistence claims: </w:t>
      </w:r>
      <w:r>
        <w:rPr>
          <w:rFonts w:ascii="Arial" w:eastAsia="Times New Roman" w:hAnsi="Arial" w:cs="Arial"/>
          <w:sz w:val="24"/>
          <w:szCs w:val="24"/>
          <w:lang w:val="en" w:eastAsia="en-GB"/>
        </w:rPr>
        <w:t xml:space="preserve">the </w:t>
      </w:r>
      <w:r w:rsidRPr="00D1734A">
        <w:rPr>
          <w:rFonts w:ascii="Arial" w:eastAsia="Times New Roman" w:hAnsi="Arial" w:cs="Arial"/>
          <w:sz w:val="24"/>
          <w:szCs w:val="24"/>
          <w:lang w:val="en" w:eastAsia="en-GB"/>
        </w:rPr>
        <w:t>date, place of origin, place of destination, category of journey, class of travel, mileage, length of hotel stay, category of hotel stay</w:t>
      </w:r>
      <w:r>
        <w:rPr>
          <w:rFonts w:ascii="Arial" w:eastAsia="Times New Roman" w:hAnsi="Arial" w:cs="Arial"/>
          <w:sz w:val="24"/>
          <w:szCs w:val="24"/>
          <w:lang w:val="en" w:eastAsia="en-GB"/>
        </w:rPr>
        <w:t>.</w:t>
      </w:r>
    </w:p>
    <w:p w14:paraId="016B853C" w14:textId="77777777" w:rsidR="00AB46A0" w:rsidRDefault="00AB46A0" w:rsidP="003525CF">
      <w:pPr>
        <w:spacing w:before="100" w:beforeAutospacing="1" w:after="100" w:afterAutospacing="1" w:line="240" w:lineRule="auto"/>
        <w:ind w:left="360" w:right="-613"/>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In circumstances where the Chief Executive has approved the payment of an exceptional expense or allowance, the record of the Chief Executive’s decision and the details of the expense and / or allowance paid will be published on the Office of the PCCs website. </w:t>
      </w:r>
    </w:p>
    <w:p w14:paraId="14E30B58" w14:textId="77777777" w:rsidR="008A557C" w:rsidRPr="003525CF" w:rsidRDefault="008A5287" w:rsidP="003525CF">
      <w:pPr>
        <w:pStyle w:val="ListParagraph"/>
        <w:numPr>
          <w:ilvl w:val="0"/>
          <w:numId w:val="20"/>
        </w:numPr>
        <w:spacing w:before="100" w:beforeAutospacing="1" w:after="100" w:afterAutospacing="1" w:line="240" w:lineRule="auto"/>
        <w:ind w:right="-613"/>
        <w:rPr>
          <w:rFonts w:cs="Arial"/>
          <w:b/>
        </w:rPr>
      </w:pPr>
      <w:r w:rsidRPr="003525CF">
        <w:rPr>
          <w:rFonts w:ascii="Arial" w:eastAsia="Times New Roman" w:hAnsi="Arial" w:cs="Arial"/>
          <w:b/>
          <w:sz w:val="24"/>
          <w:szCs w:val="24"/>
          <w:lang w:val="en" w:eastAsia="en-GB"/>
        </w:rPr>
        <w:t>Independent Advisors to the Police and Crime Commissioners</w:t>
      </w:r>
    </w:p>
    <w:p w14:paraId="6536D974" w14:textId="77777777" w:rsidR="008A557C" w:rsidRDefault="008A5287" w:rsidP="003525CF">
      <w:pPr>
        <w:pStyle w:val="ListParagraph"/>
        <w:spacing w:before="100" w:beforeAutospacing="1" w:after="100" w:afterAutospacing="1" w:line="240" w:lineRule="auto"/>
        <w:ind w:left="360" w:right="-613"/>
        <w:rPr>
          <w:rFonts w:ascii="Arial" w:hAnsi="Arial" w:cs="Arial"/>
          <w:sz w:val="24"/>
          <w:szCs w:val="24"/>
        </w:rPr>
      </w:pPr>
      <w:r w:rsidRPr="008A557C">
        <w:rPr>
          <w:rFonts w:ascii="Arial" w:eastAsia="Times New Roman" w:hAnsi="Arial" w:cs="Arial"/>
          <w:sz w:val="24"/>
          <w:szCs w:val="24"/>
          <w:lang w:val="en" w:eastAsia="en-GB"/>
        </w:rPr>
        <w:t>People appointed as an Independent Advisor to the Police and Crime Commissioner will be paid an allowance in line with the applicable rate set by the Home Office for Police Appeals Tribunal members.</w:t>
      </w:r>
      <w:r w:rsidR="00D03070">
        <w:rPr>
          <w:rFonts w:ascii="Arial" w:hAnsi="Arial" w:cs="Arial"/>
          <w:sz w:val="24"/>
          <w:szCs w:val="24"/>
        </w:rPr>
        <w:t xml:space="preserve"> The scheme</w:t>
      </w:r>
      <w:r w:rsidR="008A557C" w:rsidRPr="008A557C">
        <w:rPr>
          <w:rFonts w:ascii="Arial" w:hAnsi="Arial" w:cs="Arial"/>
          <w:sz w:val="24"/>
          <w:szCs w:val="24"/>
        </w:rPr>
        <w:t xml:space="preserve"> of allowances applicable to </w:t>
      </w:r>
      <w:r w:rsidR="00D03070">
        <w:rPr>
          <w:rFonts w:ascii="Arial" w:hAnsi="Arial" w:cs="Arial"/>
          <w:sz w:val="24"/>
          <w:szCs w:val="24"/>
        </w:rPr>
        <w:t>this</w:t>
      </w:r>
      <w:r w:rsidR="008A557C" w:rsidRPr="008A557C">
        <w:rPr>
          <w:rFonts w:ascii="Arial" w:hAnsi="Arial" w:cs="Arial"/>
          <w:sz w:val="24"/>
          <w:szCs w:val="24"/>
        </w:rPr>
        <w:t xml:space="preserve"> role</w:t>
      </w:r>
      <w:r w:rsidR="00D03070">
        <w:rPr>
          <w:rFonts w:ascii="Arial" w:hAnsi="Arial" w:cs="Arial"/>
          <w:sz w:val="24"/>
          <w:szCs w:val="24"/>
        </w:rPr>
        <w:t xml:space="preserve"> is </w:t>
      </w:r>
      <w:r w:rsidR="008A557C" w:rsidRPr="008A557C">
        <w:rPr>
          <w:rFonts w:ascii="Arial" w:hAnsi="Arial" w:cs="Arial"/>
          <w:sz w:val="24"/>
          <w:szCs w:val="24"/>
        </w:rPr>
        <w:t>detailed at Appendix A.</w:t>
      </w:r>
    </w:p>
    <w:p w14:paraId="04411C1C" w14:textId="77777777" w:rsidR="009E25EF" w:rsidRDefault="009E25EF" w:rsidP="003525CF">
      <w:pPr>
        <w:pStyle w:val="ListParagraph"/>
        <w:spacing w:before="100" w:beforeAutospacing="1" w:after="100" w:afterAutospacing="1" w:line="240" w:lineRule="auto"/>
        <w:ind w:left="360" w:right="-613"/>
        <w:rPr>
          <w:rFonts w:ascii="Arial" w:hAnsi="Arial" w:cs="Arial"/>
          <w:sz w:val="24"/>
          <w:szCs w:val="24"/>
        </w:rPr>
      </w:pPr>
    </w:p>
    <w:p w14:paraId="50E01B9D" w14:textId="77777777" w:rsidR="009E25EF" w:rsidRPr="008A557C" w:rsidRDefault="009E25EF" w:rsidP="003525CF">
      <w:pPr>
        <w:pStyle w:val="ListParagraph"/>
        <w:spacing w:before="100" w:beforeAutospacing="1" w:after="100" w:afterAutospacing="1" w:line="240" w:lineRule="auto"/>
        <w:ind w:left="360" w:right="-613"/>
        <w:rPr>
          <w:rFonts w:ascii="Arial" w:hAnsi="Arial" w:cs="Arial"/>
          <w:sz w:val="24"/>
          <w:szCs w:val="24"/>
        </w:rPr>
      </w:pPr>
    </w:p>
    <w:p w14:paraId="40902DC7" w14:textId="77777777" w:rsidR="00292E6F" w:rsidRDefault="00292E6F" w:rsidP="003525CF">
      <w:pPr>
        <w:pStyle w:val="Subtitle"/>
        <w:numPr>
          <w:ilvl w:val="0"/>
          <w:numId w:val="20"/>
        </w:numPr>
        <w:ind w:right="-613"/>
        <w:rPr>
          <w:rFonts w:cs="Arial"/>
        </w:rPr>
      </w:pPr>
      <w:r>
        <w:rPr>
          <w:rFonts w:cs="Arial"/>
        </w:rPr>
        <w:lastRenderedPageBreak/>
        <w:t xml:space="preserve">Ad </w:t>
      </w:r>
      <w:r w:rsidR="00DE1F6E">
        <w:rPr>
          <w:rFonts w:cs="Arial"/>
        </w:rPr>
        <w:t>h</w:t>
      </w:r>
      <w:r>
        <w:rPr>
          <w:rFonts w:cs="Arial"/>
        </w:rPr>
        <w:t xml:space="preserve">oc </w:t>
      </w:r>
      <w:r w:rsidR="00DE1F6E">
        <w:rPr>
          <w:rFonts w:cs="Arial"/>
        </w:rPr>
        <w:t>p</w:t>
      </w:r>
      <w:r>
        <w:rPr>
          <w:rFonts w:cs="Arial"/>
        </w:rPr>
        <w:t xml:space="preserve">anels and </w:t>
      </w:r>
      <w:r w:rsidR="00F70CC7">
        <w:rPr>
          <w:rFonts w:cs="Arial"/>
        </w:rPr>
        <w:t xml:space="preserve">groups, and </w:t>
      </w:r>
      <w:r w:rsidR="00DE1F6E">
        <w:rPr>
          <w:rFonts w:cs="Arial"/>
        </w:rPr>
        <w:t>e</w:t>
      </w:r>
      <w:r>
        <w:rPr>
          <w:rFonts w:cs="Arial"/>
        </w:rPr>
        <w:t xml:space="preserve">xceptionally </w:t>
      </w:r>
      <w:r w:rsidR="00DE1F6E">
        <w:rPr>
          <w:rFonts w:cs="Arial"/>
        </w:rPr>
        <w:t>o</w:t>
      </w:r>
      <w:r>
        <w:rPr>
          <w:rFonts w:cs="Arial"/>
        </w:rPr>
        <w:t xml:space="preserve">nerous </w:t>
      </w:r>
      <w:r w:rsidR="00DE1F6E">
        <w:rPr>
          <w:rFonts w:cs="Arial"/>
        </w:rPr>
        <w:t>t</w:t>
      </w:r>
      <w:r>
        <w:rPr>
          <w:rFonts w:cs="Arial"/>
        </w:rPr>
        <w:t>asks</w:t>
      </w:r>
      <w:r w:rsidR="00F70CC7">
        <w:rPr>
          <w:rFonts w:cs="Arial"/>
        </w:rPr>
        <w:t xml:space="preserve"> and initiatives</w:t>
      </w:r>
    </w:p>
    <w:p w14:paraId="7638F9AA" w14:textId="77777777" w:rsidR="00292E6F" w:rsidRDefault="00292E6F" w:rsidP="003525CF">
      <w:pPr>
        <w:pStyle w:val="Subtitle"/>
        <w:ind w:left="360" w:right="-613"/>
        <w:rPr>
          <w:rFonts w:cs="Arial"/>
          <w:b w:val="0"/>
        </w:rPr>
      </w:pPr>
      <w:r>
        <w:rPr>
          <w:rFonts w:cs="Arial"/>
          <w:b w:val="0"/>
        </w:rPr>
        <w:t xml:space="preserve">From time to time ad hoc panels </w:t>
      </w:r>
      <w:r w:rsidR="00F70CC7">
        <w:rPr>
          <w:rFonts w:cs="Arial"/>
          <w:b w:val="0"/>
        </w:rPr>
        <w:t xml:space="preserve">or groups </w:t>
      </w:r>
      <w:r>
        <w:rPr>
          <w:rFonts w:cs="Arial"/>
          <w:b w:val="0"/>
        </w:rPr>
        <w:t xml:space="preserve">may be set up, for example if there is an exceptionally onerous task </w:t>
      </w:r>
      <w:r w:rsidR="00F70CC7">
        <w:rPr>
          <w:rFonts w:cs="Arial"/>
          <w:b w:val="0"/>
        </w:rPr>
        <w:t xml:space="preserve">or initiative </w:t>
      </w:r>
      <w:r>
        <w:rPr>
          <w:rFonts w:cs="Arial"/>
          <w:b w:val="0"/>
        </w:rPr>
        <w:t xml:space="preserve">to be undertaken. In these circumstances the </w:t>
      </w:r>
      <w:r w:rsidR="00D602AF">
        <w:rPr>
          <w:rFonts w:cs="Arial"/>
          <w:b w:val="0"/>
        </w:rPr>
        <w:t xml:space="preserve">Chief Executive </w:t>
      </w:r>
      <w:r>
        <w:rPr>
          <w:rFonts w:cs="Arial"/>
          <w:b w:val="0"/>
        </w:rPr>
        <w:t xml:space="preserve">may decide </w:t>
      </w:r>
    </w:p>
    <w:p w14:paraId="02CEEED0" w14:textId="77777777" w:rsidR="00292E6F" w:rsidRDefault="00292E6F" w:rsidP="003525CF">
      <w:pPr>
        <w:pStyle w:val="Subtitle"/>
        <w:numPr>
          <w:ilvl w:val="0"/>
          <w:numId w:val="6"/>
        </w:numPr>
        <w:tabs>
          <w:tab w:val="clear" w:pos="360"/>
          <w:tab w:val="num" w:pos="1512"/>
        </w:tabs>
        <w:ind w:left="1512" w:right="-613"/>
        <w:rPr>
          <w:rFonts w:cs="Arial"/>
          <w:b w:val="0"/>
        </w:rPr>
      </w:pPr>
      <w:r>
        <w:rPr>
          <w:rFonts w:cs="Arial"/>
          <w:b w:val="0"/>
        </w:rPr>
        <w:t>that an ad hoc payment should be made to members of the panel</w:t>
      </w:r>
      <w:r w:rsidR="00F70CC7">
        <w:rPr>
          <w:rFonts w:cs="Arial"/>
          <w:b w:val="0"/>
        </w:rPr>
        <w:t xml:space="preserve"> / group</w:t>
      </w:r>
      <w:r>
        <w:rPr>
          <w:rFonts w:cs="Arial"/>
          <w:b w:val="0"/>
        </w:rPr>
        <w:t xml:space="preserve"> and </w:t>
      </w:r>
    </w:p>
    <w:p w14:paraId="57AC655F" w14:textId="77777777" w:rsidR="00292E6F" w:rsidRDefault="00292E6F" w:rsidP="003525CF">
      <w:pPr>
        <w:pStyle w:val="Subtitle"/>
        <w:numPr>
          <w:ilvl w:val="0"/>
          <w:numId w:val="6"/>
        </w:numPr>
        <w:tabs>
          <w:tab w:val="clear" w:pos="360"/>
          <w:tab w:val="num" w:pos="1512"/>
        </w:tabs>
        <w:ind w:left="1512" w:right="-613"/>
        <w:rPr>
          <w:rFonts w:cs="Arial"/>
          <w:b w:val="0"/>
        </w:rPr>
      </w:pPr>
      <w:r>
        <w:rPr>
          <w:rFonts w:cs="Arial"/>
          <w:b w:val="0"/>
        </w:rPr>
        <w:t>the amount of the payment</w:t>
      </w:r>
      <w:r w:rsidR="00D602AF">
        <w:rPr>
          <w:rFonts w:cs="Arial"/>
          <w:b w:val="0"/>
        </w:rPr>
        <w:t xml:space="preserve">, </w:t>
      </w:r>
      <w:r>
        <w:rPr>
          <w:rFonts w:cs="Arial"/>
          <w:b w:val="0"/>
        </w:rPr>
        <w:t xml:space="preserve"> </w:t>
      </w:r>
    </w:p>
    <w:p w14:paraId="0BB9D61E" w14:textId="77777777" w:rsidR="00D602AF" w:rsidRDefault="00D602AF" w:rsidP="003525CF">
      <w:pPr>
        <w:pStyle w:val="Subtitle"/>
        <w:ind w:left="426" w:right="-613"/>
        <w:rPr>
          <w:rFonts w:cs="Arial"/>
          <w:b w:val="0"/>
        </w:rPr>
      </w:pPr>
      <w:r>
        <w:rPr>
          <w:rFonts w:cs="Arial"/>
          <w:b w:val="0"/>
        </w:rPr>
        <w:t>the details of which will be recorded in the Terms of Reference of the relevant panel</w:t>
      </w:r>
      <w:r w:rsidR="00F70CC7">
        <w:rPr>
          <w:rFonts w:cs="Arial"/>
          <w:b w:val="0"/>
        </w:rPr>
        <w:t xml:space="preserve"> / group</w:t>
      </w:r>
      <w:r>
        <w:rPr>
          <w:rFonts w:cs="Arial"/>
          <w:b w:val="0"/>
        </w:rPr>
        <w:t xml:space="preserve">. </w:t>
      </w:r>
      <w:r w:rsidR="008A557C">
        <w:rPr>
          <w:rFonts w:cs="Arial"/>
          <w:b w:val="0"/>
        </w:rPr>
        <w:t xml:space="preserve"> The schemes of allowances applicable to these roles are detailed at Appendix B.</w:t>
      </w:r>
    </w:p>
    <w:p w14:paraId="7357F6E4" w14:textId="77777777" w:rsidR="00292E6F" w:rsidRDefault="00292E6F" w:rsidP="003525CF">
      <w:pPr>
        <w:pStyle w:val="Subtitle"/>
        <w:ind w:left="426" w:right="-613"/>
        <w:rPr>
          <w:rFonts w:cs="Arial"/>
          <w:b w:val="0"/>
        </w:rPr>
      </w:pPr>
    </w:p>
    <w:p w14:paraId="10A7794C" w14:textId="77777777" w:rsidR="00292E6F" w:rsidRDefault="00DE1F6E" w:rsidP="003525CF">
      <w:pPr>
        <w:pStyle w:val="Subtitle"/>
        <w:ind w:right="-613"/>
        <w:rPr>
          <w:rFonts w:cs="Arial"/>
        </w:rPr>
      </w:pPr>
      <w:r>
        <w:rPr>
          <w:rFonts w:cs="Arial"/>
        </w:rPr>
        <w:t>1</w:t>
      </w:r>
      <w:r w:rsidR="004A6B96">
        <w:rPr>
          <w:rFonts w:cs="Arial"/>
        </w:rPr>
        <w:t>8</w:t>
      </w:r>
      <w:r>
        <w:rPr>
          <w:rFonts w:cs="Arial"/>
        </w:rPr>
        <w:t>.</w:t>
      </w:r>
      <w:r w:rsidR="00292E6F">
        <w:rPr>
          <w:rFonts w:cs="Arial"/>
        </w:rPr>
        <w:t xml:space="preserve">Independent </w:t>
      </w:r>
      <w:r w:rsidR="00A953A0">
        <w:rPr>
          <w:rFonts w:cs="Arial"/>
        </w:rPr>
        <w:t>and / or qualified people</w:t>
      </w:r>
      <w:r w:rsidR="00AB46A0">
        <w:rPr>
          <w:rFonts w:cs="Arial"/>
        </w:rPr>
        <w:t xml:space="preserve"> appointed under Statute</w:t>
      </w:r>
    </w:p>
    <w:p w14:paraId="03E524D1" w14:textId="77777777" w:rsidR="00721177" w:rsidRDefault="00AB46A0" w:rsidP="003525CF">
      <w:pPr>
        <w:pStyle w:val="Subtitle"/>
        <w:ind w:left="360" w:right="-613"/>
        <w:rPr>
          <w:rFonts w:cs="Arial"/>
          <w:b w:val="0"/>
        </w:rPr>
      </w:pPr>
      <w:r>
        <w:rPr>
          <w:rFonts w:cs="Arial"/>
          <w:b w:val="0"/>
        </w:rPr>
        <w:t xml:space="preserve">Independent </w:t>
      </w:r>
      <w:r w:rsidR="00A953A0">
        <w:rPr>
          <w:rFonts w:cs="Arial"/>
          <w:b w:val="0"/>
        </w:rPr>
        <w:t xml:space="preserve">and / or qualified </w:t>
      </w:r>
      <w:r>
        <w:rPr>
          <w:rFonts w:cs="Arial"/>
          <w:b w:val="0"/>
        </w:rPr>
        <w:t xml:space="preserve">people who are selected to fulfil a statutory function of the Police and Crime Commissioner </w:t>
      </w:r>
      <w:r w:rsidR="00292E6F">
        <w:rPr>
          <w:rFonts w:cs="Arial"/>
          <w:b w:val="0"/>
        </w:rPr>
        <w:t xml:space="preserve">will be paid </w:t>
      </w:r>
      <w:r>
        <w:rPr>
          <w:rFonts w:cs="Arial"/>
          <w:b w:val="0"/>
        </w:rPr>
        <w:t>an allowance in line with the</w:t>
      </w:r>
      <w:r w:rsidR="00F2132B">
        <w:rPr>
          <w:rFonts w:cs="Arial"/>
          <w:b w:val="0"/>
        </w:rPr>
        <w:t xml:space="preserve"> applicable</w:t>
      </w:r>
      <w:r>
        <w:rPr>
          <w:rFonts w:cs="Arial"/>
          <w:b w:val="0"/>
        </w:rPr>
        <w:t xml:space="preserve"> </w:t>
      </w:r>
      <w:r w:rsidR="00292E6F">
        <w:rPr>
          <w:rFonts w:cs="Arial"/>
          <w:b w:val="0"/>
        </w:rPr>
        <w:t>rate set by the Home Office for Police Appeals Tribunal</w:t>
      </w:r>
      <w:r w:rsidR="00F2132B">
        <w:rPr>
          <w:rFonts w:cs="Arial"/>
          <w:b w:val="0"/>
        </w:rPr>
        <w:t>s.</w:t>
      </w:r>
      <w:r w:rsidR="00292E6F">
        <w:rPr>
          <w:rFonts w:cs="Arial"/>
          <w:b w:val="0"/>
        </w:rPr>
        <w:t xml:space="preserve"> </w:t>
      </w:r>
      <w:r w:rsidR="00A953A0">
        <w:rPr>
          <w:rFonts w:cs="Arial"/>
          <w:b w:val="0"/>
        </w:rPr>
        <w:t xml:space="preserve">The schemes of allowances applicable to these roles are </w:t>
      </w:r>
      <w:r w:rsidR="00721177">
        <w:rPr>
          <w:rFonts w:cs="Arial"/>
          <w:b w:val="0"/>
        </w:rPr>
        <w:t>detailed</w:t>
      </w:r>
      <w:r w:rsidR="00A953A0">
        <w:rPr>
          <w:rFonts w:cs="Arial"/>
          <w:b w:val="0"/>
        </w:rPr>
        <w:t xml:space="preserve"> at Appendix </w:t>
      </w:r>
      <w:r w:rsidR="008A557C">
        <w:rPr>
          <w:rFonts w:cs="Arial"/>
          <w:b w:val="0"/>
        </w:rPr>
        <w:t>C</w:t>
      </w:r>
      <w:r w:rsidR="00721177">
        <w:rPr>
          <w:rFonts w:cs="Arial"/>
          <w:b w:val="0"/>
        </w:rPr>
        <w:t xml:space="preserve"> and include:</w:t>
      </w:r>
    </w:p>
    <w:p w14:paraId="08C20EFD" w14:textId="77777777" w:rsidR="00721177" w:rsidRDefault="00721177" w:rsidP="003525CF">
      <w:pPr>
        <w:pStyle w:val="Subtitle"/>
        <w:ind w:left="360" w:right="-613"/>
        <w:rPr>
          <w:rFonts w:cs="Arial"/>
          <w:b w:val="0"/>
        </w:rPr>
      </w:pPr>
    </w:p>
    <w:p w14:paraId="17C5C812" w14:textId="77777777" w:rsidR="00721177" w:rsidRDefault="00721177" w:rsidP="003525CF">
      <w:pPr>
        <w:pStyle w:val="Subtitle"/>
        <w:numPr>
          <w:ilvl w:val="0"/>
          <w:numId w:val="22"/>
        </w:numPr>
        <w:ind w:right="-613"/>
        <w:rPr>
          <w:rFonts w:cs="Arial"/>
          <w:b w:val="0"/>
        </w:rPr>
      </w:pPr>
      <w:r>
        <w:rPr>
          <w:rFonts w:cs="Arial"/>
          <w:b w:val="0"/>
        </w:rPr>
        <w:t>Independent people who sit on Police Misconduct Panels</w:t>
      </w:r>
    </w:p>
    <w:p w14:paraId="19990AF2" w14:textId="77777777" w:rsidR="00721177" w:rsidRDefault="00721177" w:rsidP="003525CF">
      <w:pPr>
        <w:pStyle w:val="Subtitle"/>
        <w:numPr>
          <w:ilvl w:val="0"/>
          <w:numId w:val="22"/>
        </w:numPr>
        <w:ind w:right="-613"/>
        <w:rPr>
          <w:rFonts w:cs="Arial"/>
          <w:b w:val="0"/>
        </w:rPr>
      </w:pPr>
      <w:r>
        <w:rPr>
          <w:rFonts w:cs="Arial"/>
          <w:b w:val="0"/>
        </w:rPr>
        <w:t>Police Appeals Tribunals Members</w:t>
      </w:r>
    </w:p>
    <w:p w14:paraId="1F45A66E" w14:textId="77777777" w:rsidR="00292E6F" w:rsidRPr="00DE1F6E" w:rsidRDefault="00721177" w:rsidP="003525CF">
      <w:pPr>
        <w:pStyle w:val="Subtitle"/>
        <w:numPr>
          <w:ilvl w:val="0"/>
          <w:numId w:val="22"/>
        </w:numPr>
        <w:ind w:right="-613"/>
        <w:rPr>
          <w:rFonts w:cs="Arial"/>
          <w:b w:val="0"/>
          <w:i/>
        </w:rPr>
      </w:pPr>
      <w:r>
        <w:rPr>
          <w:rFonts w:cs="Arial"/>
          <w:b w:val="0"/>
        </w:rPr>
        <w:t>Legally qualified Chairs of Police Misconduct Panels</w:t>
      </w:r>
    </w:p>
    <w:p w14:paraId="4E0E8C7F" w14:textId="77777777" w:rsidR="00292E6F" w:rsidRDefault="00292E6F" w:rsidP="003525CF">
      <w:pPr>
        <w:pStyle w:val="Subtitle"/>
        <w:ind w:left="360" w:right="-613"/>
        <w:rPr>
          <w:rFonts w:cs="Arial"/>
          <w:b w:val="0"/>
        </w:rPr>
      </w:pPr>
    </w:p>
    <w:p w14:paraId="1F30C95E" w14:textId="77777777" w:rsidR="00292E6F" w:rsidRDefault="00721177" w:rsidP="003525CF">
      <w:pPr>
        <w:pStyle w:val="Subtitle"/>
        <w:ind w:right="-613"/>
        <w:rPr>
          <w:rFonts w:cs="Arial"/>
          <w:b w:val="0"/>
        </w:rPr>
      </w:pPr>
      <w:r>
        <w:rPr>
          <w:rFonts w:cs="Arial"/>
        </w:rPr>
        <w:t>1</w:t>
      </w:r>
      <w:r w:rsidR="004A6B96">
        <w:rPr>
          <w:rFonts w:cs="Arial"/>
        </w:rPr>
        <w:t>9</w:t>
      </w:r>
      <w:r>
        <w:rPr>
          <w:rFonts w:cs="Arial"/>
        </w:rPr>
        <w:t>.</w:t>
      </w:r>
      <w:r w:rsidR="00292E6F">
        <w:rPr>
          <w:rFonts w:cs="Arial"/>
        </w:rPr>
        <w:t>Independent Committee</w:t>
      </w:r>
      <w:r w:rsidR="00AB46A0">
        <w:rPr>
          <w:rFonts w:cs="Arial"/>
        </w:rPr>
        <w:t xml:space="preserve"> members appointed to fulfil audit functions</w:t>
      </w:r>
    </w:p>
    <w:p w14:paraId="2DA9DDD6" w14:textId="77777777" w:rsidR="00721177" w:rsidRDefault="00292E6F" w:rsidP="003525CF">
      <w:pPr>
        <w:pStyle w:val="Subtitle"/>
        <w:ind w:left="360" w:right="-613"/>
        <w:rPr>
          <w:rFonts w:cs="Arial"/>
          <w:b w:val="0"/>
        </w:rPr>
      </w:pPr>
      <w:r>
        <w:rPr>
          <w:rFonts w:cs="Arial"/>
          <w:b w:val="0"/>
        </w:rPr>
        <w:t xml:space="preserve">Independent </w:t>
      </w:r>
      <w:r w:rsidR="00A953A0">
        <w:rPr>
          <w:rFonts w:cs="Arial"/>
          <w:b w:val="0"/>
        </w:rPr>
        <w:t xml:space="preserve">people who are selected as members of the </w:t>
      </w:r>
      <w:r w:rsidR="00AB46A0">
        <w:rPr>
          <w:rFonts w:cs="Arial"/>
          <w:b w:val="0"/>
        </w:rPr>
        <w:t>Audit</w:t>
      </w:r>
      <w:r>
        <w:rPr>
          <w:rFonts w:cs="Arial"/>
          <w:b w:val="0"/>
        </w:rPr>
        <w:t xml:space="preserve"> Committee will be paid at the fees rate set by the Home Office for Police Appeals Tribunal Members.</w:t>
      </w:r>
      <w:r w:rsidR="00A953A0">
        <w:rPr>
          <w:rFonts w:cs="Arial"/>
          <w:b w:val="0"/>
        </w:rPr>
        <w:t xml:space="preserve"> The scheme</w:t>
      </w:r>
      <w:r w:rsidR="00721177">
        <w:rPr>
          <w:rFonts w:cs="Arial"/>
          <w:b w:val="0"/>
        </w:rPr>
        <w:t>s</w:t>
      </w:r>
      <w:r w:rsidR="00A953A0">
        <w:rPr>
          <w:rFonts w:cs="Arial"/>
          <w:b w:val="0"/>
        </w:rPr>
        <w:t xml:space="preserve"> of allowances applicable to </w:t>
      </w:r>
      <w:r w:rsidR="00721177">
        <w:rPr>
          <w:rFonts w:cs="Arial"/>
          <w:b w:val="0"/>
        </w:rPr>
        <w:t xml:space="preserve">these </w:t>
      </w:r>
      <w:r w:rsidR="00A953A0">
        <w:rPr>
          <w:rFonts w:cs="Arial"/>
          <w:b w:val="0"/>
        </w:rPr>
        <w:t>role</w:t>
      </w:r>
      <w:r w:rsidR="00721177">
        <w:rPr>
          <w:rFonts w:cs="Arial"/>
          <w:b w:val="0"/>
        </w:rPr>
        <w:t>s are</w:t>
      </w:r>
      <w:r w:rsidR="00A953A0">
        <w:rPr>
          <w:rFonts w:cs="Arial"/>
          <w:b w:val="0"/>
        </w:rPr>
        <w:t xml:space="preserve"> </w:t>
      </w:r>
      <w:r w:rsidR="00721177">
        <w:rPr>
          <w:rFonts w:cs="Arial"/>
          <w:b w:val="0"/>
        </w:rPr>
        <w:t xml:space="preserve">detailed at Appendix </w:t>
      </w:r>
      <w:r w:rsidR="008A557C">
        <w:rPr>
          <w:rFonts w:cs="Arial"/>
          <w:b w:val="0"/>
        </w:rPr>
        <w:t>D</w:t>
      </w:r>
      <w:r w:rsidR="00721177">
        <w:rPr>
          <w:rFonts w:cs="Arial"/>
          <w:b w:val="0"/>
        </w:rPr>
        <w:t xml:space="preserve"> and include: </w:t>
      </w:r>
    </w:p>
    <w:p w14:paraId="68B0278B" w14:textId="77777777" w:rsidR="00721177" w:rsidRDefault="00721177" w:rsidP="003525CF">
      <w:pPr>
        <w:pStyle w:val="Subtitle"/>
        <w:ind w:left="360" w:right="-613"/>
        <w:rPr>
          <w:rFonts w:cs="Arial"/>
          <w:b w:val="0"/>
        </w:rPr>
      </w:pPr>
    </w:p>
    <w:p w14:paraId="48E9E04E" w14:textId="77777777" w:rsidR="00A953A0" w:rsidRDefault="00721177" w:rsidP="003525CF">
      <w:pPr>
        <w:pStyle w:val="Subtitle"/>
        <w:numPr>
          <w:ilvl w:val="0"/>
          <w:numId w:val="23"/>
        </w:numPr>
        <w:ind w:right="-613"/>
        <w:rPr>
          <w:rFonts w:cs="Arial"/>
          <w:b w:val="0"/>
        </w:rPr>
      </w:pPr>
      <w:r>
        <w:rPr>
          <w:rFonts w:cs="Arial"/>
          <w:b w:val="0"/>
        </w:rPr>
        <w:t>Independent Audit Committee members</w:t>
      </w:r>
    </w:p>
    <w:p w14:paraId="4F4EDDE3" w14:textId="77777777" w:rsidR="00292E6F" w:rsidRDefault="00292E6F" w:rsidP="003525CF">
      <w:pPr>
        <w:pStyle w:val="Subtitle"/>
        <w:ind w:left="360" w:right="-613"/>
        <w:rPr>
          <w:rFonts w:cs="Arial"/>
          <w:b w:val="0"/>
        </w:rPr>
      </w:pPr>
    </w:p>
    <w:p w14:paraId="1FA3273B" w14:textId="77777777" w:rsidR="00292E6F" w:rsidRDefault="004A6B96" w:rsidP="003525CF">
      <w:pPr>
        <w:pStyle w:val="Subtitle"/>
        <w:ind w:right="-613"/>
        <w:rPr>
          <w:rFonts w:cs="Arial"/>
        </w:rPr>
      </w:pPr>
      <w:r>
        <w:rPr>
          <w:rFonts w:cs="Arial"/>
        </w:rPr>
        <w:t>20</w:t>
      </w:r>
      <w:r w:rsidR="00721177">
        <w:rPr>
          <w:rFonts w:cs="Arial"/>
        </w:rPr>
        <w:t>.</w:t>
      </w:r>
      <w:r w:rsidR="00390DB3">
        <w:rPr>
          <w:rFonts w:cs="Arial"/>
        </w:rPr>
        <w:t>Community m</w:t>
      </w:r>
      <w:r w:rsidR="00292E6F">
        <w:rPr>
          <w:rFonts w:cs="Arial"/>
        </w:rPr>
        <w:t xml:space="preserve">embers who </w:t>
      </w:r>
      <w:r w:rsidR="00A953A0">
        <w:rPr>
          <w:rFonts w:cs="Arial"/>
        </w:rPr>
        <w:t>a</w:t>
      </w:r>
      <w:r w:rsidR="00292E6F">
        <w:rPr>
          <w:rFonts w:cs="Arial"/>
        </w:rPr>
        <w:t xml:space="preserve">ssist with </w:t>
      </w:r>
      <w:r w:rsidR="00A953A0">
        <w:rPr>
          <w:rFonts w:cs="Arial"/>
        </w:rPr>
        <w:t>the work of the PCC</w:t>
      </w:r>
    </w:p>
    <w:p w14:paraId="5124CD23" w14:textId="77777777" w:rsidR="00292E6F" w:rsidRDefault="00292E6F" w:rsidP="003525CF">
      <w:pPr>
        <w:pStyle w:val="Subtitle"/>
        <w:ind w:left="360" w:right="-613"/>
        <w:rPr>
          <w:rFonts w:cs="Arial"/>
          <w:b w:val="0"/>
        </w:rPr>
      </w:pPr>
      <w:r>
        <w:rPr>
          <w:rFonts w:cs="Arial"/>
          <w:b w:val="0"/>
        </w:rPr>
        <w:t>Individuals, othe</w:t>
      </w:r>
      <w:r w:rsidR="00721177">
        <w:rPr>
          <w:rFonts w:cs="Arial"/>
          <w:b w:val="0"/>
        </w:rPr>
        <w:t>r than employees of the Office o</w:t>
      </w:r>
      <w:r>
        <w:rPr>
          <w:rFonts w:cs="Arial"/>
          <w:b w:val="0"/>
        </w:rPr>
        <w:t xml:space="preserve">f </w:t>
      </w:r>
      <w:r w:rsidR="00390DB3">
        <w:rPr>
          <w:rFonts w:cs="Arial"/>
          <w:b w:val="0"/>
        </w:rPr>
        <w:t>t</w:t>
      </w:r>
      <w:r>
        <w:rPr>
          <w:rFonts w:cs="Arial"/>
          <w:b w:val="0"/>
        </w:rPr>
        <w:t xml:space="preserve">he Police and Crime Commissioner, invited </w:t>
      </w:r>
      <w:r w:rsidR="00390DB3">
        <w:rPr>
          <w:rFonts w:cs="Arial"/>
          <w:b w:val="0"/>
        </w:rPr>
        <w:t xml:space="preserve">or selected </w:t>
      </w:r>
      <w:r>
        <w:rPr>
          <w:rFonts w:cs="Arial"/>
          <w:b w:val="0"/>
        </w:rPr>
        <w:t xml:space="preserve">to assist in </w:t>
      </w:r>
      <w:r w:rsidR="00A953A0">
        <w:rPr>
          <w:rFonts w:cs="Arial"/>
          <w:b w:val="0"/>
        </w:rPr>
        <w:t>the work of the PCC</w:t>
      </w:r>
      <w:r>
        <w:rPr>
          <w:rFonts w:cs="Arial"/>
          <w:b w:val="0"/>
        </w:rPr>
        <w:t xml:space="preserve"> will be</w:t>
      </w:r>
      <w:r w:rsidR="00A953A0">
        <w:rPr>
          <w:rFonts w:cs="Arial"/>
          <w:b w:val="0"/>
        </w:rPr>
        <w:t xml:space="preserve"> entitled to an allowance of </w:t>
      </w:r>
      <w:r w:rsidRPr="00721177">
        <w:rPr>
          <w:rFonts w:cs="Arial"/>
          <w:b w:val="0"/>
          <w:color w:val="000000" w:themeColor="text1"/>
        </w:rPr>
        <w:t xml:space="preserve">£30 </w:t>
      </w:r>
      <w:r>
        <w:rPr>
          <w:rFonts w:cs="Arial"/>
          <w:b w:val="0"/>
        </w:rPr>
        <w:t xml:space="preserve">per </w:t>
      </w:r>
      <w:r w:rsidR="00A953A0">
        <w:rPr>
          <w:rFonts w:cs="Arial"/>
          <w:b w:val="0"/>
        </w:rPr>
        <w:t>session</w:t>
      </w:r>
      <w:r>
        <w:rPr>
          <w:rFonts w:cs="Arial"/>
          <w:b w:val="0"/>
        </w:rPr>
        <w:t>.</w:t>
      </w:r>
      <w:r w:rsidR="00721177">
        <w:rPr>
          <w:rFonts w:cs="Arial"/>
          <w:b w:val="0"/>
        </w:rPr>
        <w:t xml:space="preserve"> The scheme of allowances applicable to these </w:t>
      </w:r>
      <w:r w:rsidR="008A557C">
        <w:rPr>
          <w:rFonts w:cs="Arial"/>
          <w:b w:val="0"/>
        </w:rPr>
        <w:t>roles are detailed at Appendix E</w:t>
      </w:r>
      <w:r w:rsidR="003525CF">
        <w:rPr>
          <w:rFonts w:cs="Arial"/>
          <w:b w:val="0"/>
        </w:rPr>
        <w:t>.</w:t>
      </w:r>
      <w:r w:rsidR="00721177">
        <w:rPr>
          <w:rFonts w:cs="Arial"/>
          <w:b w:val="0"/>
        </w:rPr>
        <w:t xml:space="preserve"> </w:t>
      </w:r>
    </w:p>
    <w:p w14:paraId="0BDE953B" w14:textId="77777777" w:rsidR="00435770" w:rsidRPr="003525CF" w:rsidRDefault="008A557C" w:rsidP="00435770">
      <w:pPr>
        <w:pStyle w:val="ListParagraph"/>
        <w:spacing w:before="100" w:beforeAutospacing="1" w:after="100" w:afterAutospacing="1" w:line="240" w:lineRule="auto"/>
        <w:ind w:left="360" w:right="-613"/>
        <w:rPr>
          <w:rFonts w:cs="Arial"/>
          <w:b/>
        </w:rPr>
      </w:pPr>
      <w:r w:rsidRPr="00435770">
        <w:rPr>
          <w:rFonts w:ascii="Arial" w:eastAsia="Times New Roman" w:hAnsi="Arial" w:cs="Arial"/>
          <w:b/>
          <w:sz w:val="24"/>
          <w:szCs w:val="24"/>
          <w:lang w:val="en" w:eastAsia="en-GB"/>
        </w:rPr>
        <w:t>Appendix</w:t>
      </w:r>
      <w:r w:rsidR="00435770">
        <w:rPr>
          <w:rFonts w:ascii="Arial" w:eastAsia="Times New Roman" w:hAnsi="Arial" w:cs="Arial"/>
          <w:b/>
          <w:sz w:val="24"/>
          <w:szCs w:val="24"/>
          <w:lang w:val="en" w:eastAsia="en-GB"/>
        </w:rPr>
        <w:t xml:space="preserve"> </w:t>
      </w:r>
      <w:r w:rsidRPr="00435770">
        <w:rPr>
          <w:rFonts w:ascii="Arial" w:eastAsia="Times New Roman" w:hAnsi="Arial" w:cs="Arial"/>
          <w:b/>
          <w:sz w:val="24"/>
          <w:szCs w:val="24"/>
          <w:lang w:val="en" w:eastAsia="en-GB"/>
        </w:rPr>
        <w:t>A</w:t>
      </w:r>
      <w:r w:rsidR="00435770" w:rsidRPr="00435770">
        <w:rPr>
          <w:rFonts w:ascii="Arial" w:eastAsia="Times New Roman" w:hAnsi="Arial" w:cs="Arial"/>
          <w:b/>
          <w:sz w:val="24"/>
          <w:szCs w:val="24"/>
          <w:lang w:val="en" w:eastAsia="en-GB"/>
        </w:rPr>
        <w:t xml:space="preserve"> - </w:t>
      </w:r>
      <w:r w:rsidR="00435770" w:rsidRPr="003525CF">
        <w:rPr>
          <w:rFonts w:ascii="Arial" w:eastAsia="Times New Roman" w:hAnsi="Arial" w:cs="Arial"/>
          <w:b/>
          <w:sz w:val="24"/>
          <w:szCs w:val="24"/>
          <w:lang w:val="en" w:eastAsia="en-GB"/>
        </w:rPr>
        <w:t>Independent Advisors to the Police and Crime Commissioners</w:t>
      </w:r>
    </w:p>
    <w:tbl>
      <w:tblPr>
        <w:tblStyle w:val="TableGrid"/>
        <w:tblW w:w="8707" w:type="dxa"/>
        <w:tblInd w:w="360" w:type="dxa"/>
        <w:tblLook w:val="04A0" w:firstRow="1" w:lastRow="0" w:firstColumn="1" w:lastColumn="0" w:noHBand="0" w:noVBand="1"/>
      </w:tblPr>
      <w:tblGrid>
        <w:gridCol w:w="6439"/>
        <w:gridCol w:w="2268"/>
      </w:tblGrid>
      <w:tr w:rsidR="008A557C" w14:paraId="34E25D76" w14:textId="77777777" w:rsidTr="000D1F01">
        <w:tc>
          <w:tcPr>
            <w:tcW w:w="6439" w:type="dxa"/>
          </w:tcPr>
          <w:p w14:paraId="750F9FEB" w14:textId="77777777" w:rsidR="008A557C" w:rsidRDefault="008A557C" w:rsidP="00606DF5">
            <w:pPr>
              <w:pStyle w:val="Subtitle"/>
              <w:ind w:right="95"/>
              <w:rPr>
                <w:rFonts w:cs="Arial"/>
              </w:rPr>
            </w:pPr>
            <w:r>
              <w:rPr>
                <w:rFonts w:cs="Arial"/>
              </w:rPr>
              <w:t>Role</w:t>
            </w:r>
          </w:p>
        </w:tc>
        <w:tc>
          <w:tcPr>
            <w:tcW w:w="2268" w:type="dxa"/>
          </w:tcPr>
          <w:p w14:paraId="7376F001" w14:textId="77777777" w:rsidR="008A557C" w:rsidRDefault="008A557C" w:rsidP="00606DF5">
            <w:pPr>
              <w:pStyle w:val="Subtitle"/>
              <w:ind w:right="95"/>
              <w:rPr>
                <w:rFonts w:cs="Arial"/>
              </w:rPr>
            </w:pPr>
            <w:r>
              <w:rPr>
                <w:rFonts w:cs="Arial"/>
              </w:rPr>
              <w:t>Scheme of allowances</w:t>
            </w:r>
          </w:p>
        </w:tc>
      </w:tr>
      <w:tr w:rsidR="008A557C" w14:paraId="75707120" w14:textId="77777777" w:rsidTr="000D1F01">
        <w:tc>
          <w:tcPr>
            <w:tcW w:w="6439" w:type="dxa"/>
          </w:tcPr>
          <w:p w14:paraId="6B283E86" w14:textId="77777777" w:rsidR="008A557C" w:rsidRPr="008A557C" w:rsidRDefault="008A557C" w:rsidP="00606DF5">
            <w:pPr>
              <w:pStyle w:val="Subtitle"/>
              <w:ind w:right="95"/>
              <w:rPr>
                <w:rFonts w:cs="Arial"/>
                <w:b w:val="0"/>
              </w:rPr>
            </w:pPr>
            <w:r w:rsidRPr="008A557C">
              <w:rPr>
                <w:rFonts w:cs="Arial"/>
                <w:b w:val="0"/>
              </w:rPr>
              <w:t>Independent Advisors to the Police and Crime Commissioner</w:t>
            </w:r>
          </w:p>
        </w:tc>
        <w:bookmarkStart w:id="0" w:name="_MON_1624456178"/>
        <w:bookmarkEnd w:id="0"/>
        <w:tc>
          <w:tcPr>
            <w:tcW w:w="2268" w:type="dxa"/>
          </w:tcPr>
          <w:p w14:paraId="01F37F8A" w14:textId="77777777" w:rsidR="008A557C" w:rsidRDefault="00606DF5" w:rsidP="00606DF5">
            <w:pPr>
              <w:pStyle w:val="Subtitle"/>
              <w:ind w:right="95"/>
              <w:rPr>
                <w:rFonts w:cs="Arial"/>
              </w:rPr>
            </w:pPr>
            <w:r>
              <w:rPr>
                <w:rFonts w:cs="Arial"/>
              </w:rPr>
              <w:object w:dxaOrig="1551" w:dyaOrig="1004" w14:anchorId="2C044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6" o:title=""/>
                </v:shape>
                <o:OLEObject Type="Embed" ProgID="Word.Document.8" ShapeID="_x0000_i1025" DrawAspect="Icon" ObjectID="_1666766905" r:id="rId7">
                  <o:FieldCodes>\s</o:FieldCodes>
                </o:OLEObject>
              </w:object>
            </w:r>
          </w:p>
        </w:tc>
      </w:tr>
    </w:tbl>
    <w:p w14:paraId="75B0C7F8" w14:textId="77777777" w:rsidR="008A557C" w:rsidRDefault="008A557C" w:rsidP="00606DF5">
      <w:pPr>
        <w:pStyle w:val="Subtitle"/>
        <w:ind w:left="360" w:right="95"/>
        <w:rPr>
          <w:rFonts w:cs="Arial"/>
        </w:rPr>
      </w:pPr>
    </w:p>
    <w:p w14:paraId="19F462DE" w14:textId="77777777" w:rsidR="00435770" w:rsidRDefault="008A557C" w:rsidP="00435770">
      <w:pPr>
        <w:pStyle w:val="Subtitle"/>
        <w:ind w:left="284" w:right="-613"/>
        <w:rPr>
          <w:rFonts w:cs="Arial"/>
        </w:rPr>
      </w:pPr>
      <w:r>
        <w:rPr>
          <w:rFonts w:cs="Arial"/>
        </w:rPr>
        <w:t>Appendix B</w:t>
      </w:r>
      <w:r w:rsidR="00435770">
        <w:rPr>
          <w:rFonts w:cs="Arial"/>
        </w:rPr>
        <w:t xml:space="preserve"> - Ad hoc panels and groups, and exceptionally onerous tasks and initiatives</w:t>
      </w:r>
    </w:p>
    <w:p w14:paraId="4F81962B" w14:textId="77777777" w:rsidR="008A557C" w:rsidRDefault="008A557C" w:rsidP="00606DF5">
      <w:pPr>
        <w:pStyle w:val="Subtitle"/>
        <w:ind w:left="360" w:right="95"/>
        <w:rPr>
          <w:rFonts w:cs="Arial"/>
        </w:rPr>
      </w:pPr>
    </w:p>
    <w:tbl>
      <w:tblPr>
        <w:tblStyle w:val="TableGrid"/>
        <w:tblW w:w="8707" w:type="dxa"/>
        <w:tblInd w:w="360" w:type="dxa"/>
        <w:tblLook w:val="04A0" w:firstRow="1" w:lastRow="0" w:firstColumn="1" w:lastColumn="0" w:noHBand="0" w:noVBand="1"/>
      </w:tblPr>
      <w:tblGrid>
        <w:gridCol w:w="6439"/>
        <w:gridCol w:w="2268"/>
      </w:tblGrid>
      <w:tr w:rsidR="008A557C" w14:paraId="4057012D" w14:textId="77777777" w:rsidTr="000D1F01">
        <w:tc>
          <w:tcPr>
            <w:tcW w:w="6439" w:type="dxa"/>
          </w:tcPr>
          <w:p w14:paraId="396AE050" w14:textId="77777777" w:rsidR="008A557C" w:rsidRDefault="008A557C" w:rsidP="00606DF5">
            <w:pPr>
              <w:pStyle w:val="Subtitle"/>
              <w:ind w:right="95"/>
              <w:rPr>
                <w:rFonts w:cs="Arial"/>
              </w:rPr>
            </w:pPr>
            <w:r>
              <w:rPr>
                <w:rFonts w:cs="Arial"/>
              </w:rPr>
              <w:t>Role</w:t>
            </w:r>
          </w:p>
        </w:tc>
        <w:tc>
          <w:tcPr>
            <w:tcW w:w="2268" w:type="dxa"/>
          </w:tcPr>
          <w:p w14:paraId="542C3E18" w14:textId="77777777" w:rsidR="008A557C" w:rsidRDefault="008A557C" w:rsidP="00606DF5">
            <w:pPr>
              <w:pStyle w:val="Subtitle"/>
              <w:ind w:right="95"/>
              <w:rPr>
                <w:rFonts w:cs="Arial"/>
              </w:rPr>
            </w:pPr>
            <w:r>
              <w:rPr>
                <w:rFonts w:cs="Arial"/>
              </w:rPr>
              <w:t>Scheme of allowances</w:t>
            </w:r>
          </w:p>
        </w:tc>
      </w:tr>
      <w:tr w:rsidR="008A557C" w14:paraId="1734D5B7" w14:textId="77777777" w:rsidTr="000D1F01">
        <w:tc>
          <w:tcPr>
            <w:tcW w:w="6439" w:type="dxa"/>
          </w:tcPr>
          <w:p w14:paraId="64D4E8BF" w14:textId="6661BB1D" w:rsidR="008A557C" w:rsidRPr="008A557C" w:rsidRDefault="00321EA0" w:rsidP="00606DF5">
            <w:pPr>
              <w:pStyle w:val="Subtitle"/>
              <w:ind w:right="95"/>
              <w:rPr>
                <w:rFonts w:cs="Arial"/>
                <w:b w:val="0"/>
              </w:rPr>
            </w:pPr>
            <w:r>
              <w:rPr>
                <w:rFonts w:cs="Arial"/>
                <w:b w:val="0"/>
              </w:rPr>
              <w:lastRenderedPageBreak/>
              <w:t>Lived Experience Advisors</w:t>
            </w:r>
          </w:p>
        </w:tc>
        <w:bookmarkStart w:id="1" w:name="_GoBack"/>
        <w:tc>
          <w:tcPr>
            <w:tcW w:w="2268" w:type="dxa"/>
          </w:tcPr>
          <w:p w14:paraId="56F1D994" w14:textId="7F6A4281" w:rsidR="008A557C" w:rsidRPr="008A557C" w:rsidRDefault="00675A7B" w:rsidP="00606DF5">
            <w:pPr>
              <w:pStyle w:val="Subtitle"/>
              <w:ind w:right="95"/>
              <w:rPr>
                <w:rFonts w:cs="Arial"/>
                <w:b w:val="0"/>
              </w:rPr>
            </w:pPr>
            <w:r>
              <w:rPr>
                <w:rFonts w:cs="Arial"/>
                <w:b w:val="0"/>
              </w:rPr>
              <w:object w:dxaOrig="1508" w:dyaOrig="983" w14:anchorId="2A865416">
                <v:shape id="_x0000_i1040" type="#_x0000_t75" style="width:75.5pt;height:49pt" o:ole="">
                  <v:imagedata r:id="rId8" o:title=""/>
                </v:shape>
                <o:OLEObject Type="Embed" ProgID="Package" ShapeID="_x0000_i1040" DrawAspect="Icon" ObjectID="_1666766906" r:id="rId9"/>
              </w:object>
            </w:r>
            <w:bookmarkEnd w:id="1"/>
          </w:p>
        </w:tc>
      </w:tr>
    </w:tbl>
    <w:p w14:paraId="60F783E0" w14:textId="77777777" w:rsidR="009E25EF" w:rsidRDefault="009E25EF" w:rsidP="00606DF5">
      <w:pPr>
        <w:pStyle w:val="Subtitle"/>
        <w:ind w:left="360" w:right="95"/>
        <w:rPr>
          <w:rFonts w:cs="Arial"/>
        </w:rPr>
      </w:pPr>
    </w:p>
    <w:p w14:paraId="128B23A3" w14:textId="77777777" w:rsidR="00721177" w:rsidRDefault="008A557C" w:rsidP="00606DF5">
      <w:pPr>
        <w:pStyle w:val="Subtitle"/>
        <w:ind w:left="360" w:right="95"/>
        <w:rPr>
          <w:rFonts w:cs="Arial"/>
        </w:rPr>
      </w:pPr>
      <w:r>
        <w:rPr>
          <w:rFonts w:cs="Arial"/>
        </w:rPr>
        <w:t>Appendix C</w:t>
      </w:r>
      <w:r w:rsidR="00435770">
        <w:rPr>
          <w:rFonts w:cs="Arial"/>
        </w:rPr>
        <w:t xml:space="preserve"> - Independent and / or qualified people appointed under Statute</w:t>
      </w:r>
    </w:p>
    <w:p w14:paraId="7EE2CFF8" w14:textId="77777777" w:rsidR="00721177" w:rsidRDefault="00721177" w:rsidP="00606DF5">
      <w:pPr>
        <w:pStyle w:val="Subtitle"/>
        <w:ind w:left="360" w:right="95"/>
        <w:rPr>
          <w:rFonts w:cs="Arial"/>
        </w:rPr>
      </w:pPr>
    </w:p>
    <w:tbl>
      <w:tblPr>
        <w:tblStyle w:val="TableGrid"/>
        <w:tblW w:w="8707" w:type="dxa"/>
        <w:tblInd w:w="360" w:type="dxa"/>
        <w:tblLook w:val="04A0" w:firstRow="1" w:lastRow="0" w:firstColumn="1" w:lastColumn="0" w:noHBand="0" w:noVBand="1"/>
      </w:tblPr>
      <w:tblGrid>
        <w:gridCol w:w="6335"/>
        <w:gridCol w:w="2372"/>
      </w:tblGrid>
      <w:tr w:rsidR="00390DB3" w14:paraId="484F550B" w14:textId="77777777" w:rsidTr="003525CF">
        <w:tc>
          <w:tcPr>
            <w:tcW w:w="6424" w:type="dxa"/>
          </w:tcPr>
          <w:p w14:paraId="5E51604B" w14:textId="77777777" w:rsidR="00390DB3" w:rsidRDefault="00390DB3" w:rsidP="00606DF5">
            <w:pPr>
              <w:pStyle w:val="Subtitle"/>
              <w:ind w:right="95"/>
              <w:rPr>
                <w:rFonts w:cs="Arial"/>
              </w:rPr>
            </w:pPr>
            <w:r>
              <w:rPr>
                <w:rFonts w:cs="Arial"/>
              </w:rPr>
              <w:t>Role</w:t>
            </w:r>
          </w:p>
        </w:tc>
        <w:tc>
          <w:tcPr>
            <w:tcW w:w="2283" w:type="dxa"/>
          </w:tcPr>
          <w:p w14:paraId="72E7F92E" w14:textId="77777777" w:rsidR="00390DB3" w:rsidRDefault="00390DB3" w:rsidP="00606DF5">
            <w:pPr>
              <w:pStyle w:val="Subtitle"/>
              <w:ind w:right="95"/>
              <w:rPr>
                <w:rFonts w:cs="Arial"/>
              </w:rPr>
            </w:pPr>
            <w:r>
              <w:rPr>
                <w:rFonts w:cs="Arial"/>
              </w:rPr>
              <w:t>Scheme of allowances</w:t>
            </w:r>
          </w:p>
        </w:tc>
      </w:tr>
      <w:tr w:rsidR="00390DB3" w14:paraId="580343C5" w14:textId="77777777" w:rsidTr="003525CF">
        <w:tc>
          <w:tcPr>
            <w:tcW w:w="6424" w:type="dxa"/>
          </w:tcPr>
          <w:p w14:paraId="267E603D" w14:textId="77777777" w:rsidR="00390DB3" w:rsidRDefault="00390DB3" w:rsidP="00606DF5">
            <w:pPr>
              <w:pStyle w:val="Subtitle"/>
              <w:ind w:right="95"/>
              <w:rPr>
                <w:rFonts w:cs="Arial"/>
              </w:rPr>
            </w:pPr>
            <w:r>
              <w:rPr>
                <w:rFonts w:cs="Arial"/>
                <w:b w:val="0"/>
              </w:rPr>
              <w:t>Independent people who sit on Police Misconduct Panels</w:t>
            </w:r>
          </w:p>
        </w:tc>
        <w:bookmarkStart w:id="2" w:name="_MON_1624458958"/>
        <w:bookmarkEnd w:id="2"/>
        <w:tc>
          <w:tcPr>
            <w:tcW w:w="2283" w:type="dxa"/>
          </w:tcPr>
          <w:p w14:paraId="593EC473" w14:textId="77777777" w:rsidR="00390DB3" w:rsidRDefault="00CE65F4" w:rsidP="00606DF5">
            <w:pPr>
              <w:pStyle w:val="Subtitle"/>
              <w:ind w:right="95"/>
              <w:rPr>
                <w:rFonts w:cs="Arial"/>
              </w:rPr>
            </w:pPr>
            <w:r>
              <w:rPr>
                <w:rFonts w:cs="Arial"/>
              </w:rPr>
              <w:object w:dxaOrig="1551" w:dyaOrig="1004" w14:anchorId="3B4AF075">
                <v:shape id="_x0000_i1026" type="#_x0000_t75" style="width:77pt;height:50.5pt" o:ole="">
                  <v:imagedata r:id="rId10" o:title=""/>
                </v:shape>
                <o:OLEObject Type="Embed" ProgID="Word.Document.8" ShapeID="_x0000_i1026" DrawAspect="Icon" ObjectID="_1666766907" r:id="rId11">
                  <o:FieldCodes>\s</o:FieldCodes>
                </o:OLEObject>
              </w:object>
            </w:r>
          </w:p>
        </w:tc>
      </w:tr>
      <w:tr w:rsidR="00390DB3" w14:paraId="33BAABDF" w14:textId="77777777" w:rsidTr="003525CF">
        <w:tc>
          <w:tcPr>
            <w:tcW w:w="6424" w:type="dxa"/>
          </w:tcPr>
          <w:p w14:paraId="104BCE29" w14:textId="77777777" w:rsidR="00390DB3" w:rsidRDefault="00390DB3" w:rsidP="00606DF5">
            <w:pPr>
              <w:pStyle w:val="Subtitle"/>
              <w:ind w:right="95"/>
              <w:rPr>
                <w:rFonts w:cs="Arial"/>
              </w:rPr>
            </w:pPr>
            <w:r>
              <w:rPr>
                <w:rFonts w:cs="Arial"/>
                <w:b w:val="0"/>
              </w:rPr>
              <w:t>Police Appeals Tribunals Members</w:t>
            </w:r>
          </w:p>
        </w:tc>
        <w:tc>
          <w:tcPr>
            <w:tcW w:w="2283" w:type="dxa"/>
          </w:tcPr>
          <w:p w14:paraId="4730BC75" w14:textId="59247FEC" w:rsidR="00390DB3" w:rsidRDefault="00A1094F" w:rsidP="00606DF5">
            <w:pPr>
              <w:pStyle w:val="Subtitle"/>
              <w:ind w:right="95"/>
              <w:rPr>
                <w:rFonts w:cs="Arial"/>
              </w:rPr>
            </w:pPr>
            <w:r>
              <w:rPr>
                <w:rFonts w:cs="Arial"/>
              </w:rPr>
              <w:object w:dxaOrig="2069" w:dyaOrig="1339" w14:anchorId="44F784C8">
                <v:shape id="_x0000_i1027" type="#_x0000_t75" style="width:103pt;height:67pt" o:ole="">
                  <v:imagedata r:id="rId12" o:title=""/>
                </v:shape>
                <o:OLEObject Type="Embed" ProgID="AcroExch.Document.DC" ShapeID="_x0000_i1027" DrawAspect="Icon" ObjectID="_1666766908" r:id="rId13"/>
              </w:object>
            </w:r>
          </w:p>
        </w:tc>
      </w:tr>
      <w:tr w:rsidR="00390DB3" w14:paraId="16B90CA1" w14:textId="77777777" w:rsidTr="003525CF">
        <w:tc>
          <w:tcPr>
            <w:tcW w:w="6424" w:type="dxa"/>
          </w:tcPr>
          <w:p w14:paraId="1B605BE9" w14:textId="77777777" w:rsidR="00390DB3" w:rsidRDefault="00390DB3" w:rsidP="00606DF5">
            <w:pPr>
              <w:pStyle w:val="Subtitle"/>
              <w:ind w:right="95"/>
              <w:rPr>
                <w:rFonts w:cs="Arial"/>
                <w:b w:val="0"/>
              </w:rPr>
            </w:pPr>
            <w:r>
              <w:rPr>
                <w:rFonts w:cs="Arial"/>
                <w:b w:val="0"/>
              </w:rPr>
              <w:t>Legally qualified Chairs of Police Misconduct Panels</w:t>
            </w:r>
          </w:p>
        </w:tc>
        <w:tc>
          <w:tcPr>
            <w:tcW w:w="2283" w:type="dxa"/>
          </w:tcPr>
          <w:p w14:paraId="5AB2C193" w14:textId="77777777" w:rsidR="00390DB3" w:rsidRDefault="002E70E3" w:rsidP="00606DF5">
            <w:pPr>
              <w:pStyle w:val="Subtitle"/>
              <w:ind w:right="95"/>
              <w:rPr>
                <w:rFonts w:cs="Arial"/>
              </w:rPr>
            </w:pPr>
            <w:r>
              <w:object w:dxaOrig="1508" w:dyaOrig="983" w14:anchorId="66ADC30C">
                <v:shape id="_x0000_i1028" type="#_x0000_t75" style="width:75.5pt;height:49pt" o:ole="">
                  <v:imagedata r:id="rId14" o:title=""/>
                </v:shape>
                <o:OLEObject Type="Embed" ProgID="AcroExch.Document.DC" ShapeID="_x0000_i1028" DrawAspect="Icon" ObjectID="_1666766909" r:id="rId15"/>
              </w:object>
            </w:r>
          </w:p>
        </w:tc>
      </w:tr>
    </w:tbl>
    <w:p w14:paraId="5426495D" w14:textId="77777777" w:rsidR="00721177" w:rsidRDefault="00721177" w:rsidP="00606DF5">
      <w:pPr>
        <w:pStyle w:val="Subtitle"/>
        <w:ind w:left="360" w:right="95"/>
        <w:rPr>
          <w:rFonts w:cs="Arial"/>
        </w:rPr>
      </w:pPr>
    </w:p>
    <w:p w14:paraId="5BD95C8F" w14:textId="77777777" w:rsidR="00721177" w:rsidRDefault="009E25EF" w:rsidP="00606DF5">
      <w:pPr>
        <w:pStyle w:val="Subtitle"/>
        <w:ind w:left="360" w:right="95"/>
        <w:rPr>
          <w:rFonts w:cs="Arial"/>
        </w:rPr>
      </w:pPr>
      <w:r>
        <w:rPr>
          <w:rFonts w:cs="Arial"/>
        </w:rPr>
        <w:t>Appendix D</w:t>
      </w:r>
      <w:r w:rsidR="00435770">
        <w:rPr>
          <w:rFonts w:cs="Arial"/>
        </w:rPr>
        <w:t xml:space="preserve"> - Independent Committee members appointed to fulfil audit functions</w:t>
      </w:r>
    </w:p>
    <w:p w14:paraId="3CC0C9BE" w14:textId="77777777" w:rsidR="00721177" w:rsidRDefault="00721177" w:rsidP="00435770">
      <w:pPr>
        <w:pStyle w:val="Subtitle"/>
        <w:numPr>
          <w:ilvl w:val="1"/>
          <w:numId w:val="15"/>
        </w:numPr>
        <w:ind w:right="95"/>
        <w:rPr>
          <w:rFonts w:cs="Arial"/>
        </w:rPr>
      </w:pPr>
    </w:p>
    <w:tbl>
      <w:tblPr>
        <w:tblStyle w:val="TableGrid"/>
        <w:tblW w:w="8707" w:type="dxa"/>
        <w:tblInd w:w="360" w:type="dxa"/>
        <w:tblLook w:val="04A0" w:firstRow="1" w:lastRow="0" w:firstColumn="1" w:lastColumn="0" w:noHBand="0" w:noVBand="1"/>
      </w:tblPr>
      <w:tblGrid>
        <w:gridCol w:w="6581"/>
        <w:gridCol w:w="2126"/>
      </w:tblGrid>
      <w:tr w:rsidR="00390DB3" w14:paraId="003C59F6" w14:textId="77777777" w:rsidTr="00390DB3">
        <w:tc>
          <w:tcPr>
            <w:tcW w:w="6581" w:type="dxa"/>
          </w:tcPr>
          <w:p w14:paraId="4B085829" w14:textId="77777777" w:rsidR="00390DB3" w:rsidRDefault="00390DB3" w:rsidP="00606DF5">
            <w:pPr>
              <w:pStyle w:val="Subtitle"/>
              <w:ind w:right="95"/>
              <w:rPr>
                <w:rFonts w:cs="Arial"/>
              </w:rPr>
            </w:pPr>
            <w:r>
              <w:rPr>
                <w:rFonts w:cs="Arial"/>
              </w:rPr>
              <w:t>Role</w:t>
            </w:r>
          </w:p>
        </w:tc>
        <w:tc>
          <w:tcPr>
            <w:tcW w:w="2126" w:type="dxa"/>
          </w:tcPr>
          <w:p w14:paraId="1A2B0A71" w14:textId="77777777" w:rsidR="00390DB3" w:rsidRDefault="00390DB3" w:rsidP="00606DF5">
            <w:pPr>
              <w:pStyle w:val="Subtitle"/>
              <w:ind w:right="95"/>
              <w:rPr>
                <w:rFonts w:cs="Arial"/>
              </w:rPr>
            </w:pPr>
            <w:r>
              <w:rPr>
                <w:rFonts w:cs="Arial"/>
              </w:rPr>
              <w:t>Scheme of allowances</w:t>
            </w:r>
          </w:p>
        </w:tc>
      </w:tr>
      <w:tr w:rsidR="00390DB3" w14:paraId="6B6AB29D" w14:textId="77777777" w:rsidTr="00390DB3">
        <w:tc>
          <w:tcPr>
            <w:tcW w:w="6581" w:type="dxa"/>
          </w:tcPr>
          <w:p w14:paraId="2653DBBB" w14:textId="77777777" w:rsidR="00390DB3" w:rsidRDefault="004B29BC" w:rsidP="00BC1614">
            <w:pPr>
              <w:pStyle w:val="Subtitle"/>
              <w:ind w:right="95"/>
              <w:rPr>
                <w:rFonts w:cs="Arial"/>
              </w:rPr>
            </w:pPr>
            <w:r>
              <w:rPr>
                <w:rFonts w:cs="Arial"/>
                <w:b w:val="0"/>
              </w:rPr>
              <w:t>Independent Audit Committee members</w:t>
            </w:r>
            <w:r w:rsidR="005E0ADB">
              <w:rPr>
                <w:rFonts w:cs="Arial"/>
                <w:b w:val="0"/>
              </w:rPr>
              <w:t xml:space="preserve"> </w:t>
            </w:r>
            <w:r w:rsidR="00CE65F4">
              <w:rPr>
                <w:rFonts w:cs="Arial"/>
                <w:b w:val="0"/>
              </w:rPr>
              <w:t>(this scheme of allowances is</w:t>
            </w:r>
            <w:r w:rsidR="00BC1614">
              <w:rPr>
                <w:rFonts w:cs="Arial"/>
                <w:b w:val="0"/>
              </w:rPr>
              <w:t xml:space="preserve"> </w:t>
            </w:r>
            <w:r w:rsidR="00CE65F4">
              <w:rPr>
                <w:rFonts w:cs="Arial"/>
                <w:b w:val="0"/>
              </w:rPr>
              <w:t xml:space="preserve">administered by Dorset OPCC). </w:t>
            </w:r>
          </w:p>
        </w:tc>
        <w:bookmarkStart w:id="3" w:name="_MON_1617691142"/>
        <w:bookmarkEnd w:id="3"/>
        <w:tc>
          <w:tcPr>
            <w:tcW w:w="2126" w:type="dxa"/>
          </w:tcPr>
          <w:p w14:paraId="7A215299" w14:textId="77777777" w:rsidR="00390DB3" w:rsidRDefault="004C01B4" w:rsidP="00606DF5">
            <w:pPr>
              <w:pStyle w:val="Subtitle"/>
              <w:ind w:right="95"/>
              <w:rPr>
                <w:rFonts w:cs="Arial"/>
              </w:rPr>
            </w:pPr>
            <w:r>
              <w:rPr>
                <w:rFonts w:cs="Arial"/>
              </w:rPr>
              <w:object w:dxaOrig="1551" w:dyaOrig="1004" w14:anchorId="33208DC2">
                <v:shape id="_x0000_i1029" type="#_x0000_t75" style="width:77pt;height:50.5pt" o:ole="">
                  <v:imagedata r:id="rId16" o:title=""/>
                </v:shape>
                <o:OLEObject Type="Embed" ProgID="Word.Document.8" ShapeID="_x0000_i1029" DrawAspect="Icon" ObjectID="_1666766910" r:id="rId17">
                  <o:FieldCodes>\s</o:FieldCodes>
                </o:OLEObject>
              </w:object>
            </w:r>
          </w:p>
        </w:tc>
      </w:tr>
    </w:tbl>
    <w:p w14:paraId="775314C3" w14:textId="77777777" w:rsidR="00721177" w:rsidRDefault="00721177" w:rsidP="00606DF5">
      <w:pPr>
        <w:pStyle w:val="Subtitle"/>
        <w:ind w:left="360" w:right="95"/>
        <w:rPr>
          <w:rFonts w:cs="Arial"/>
        </w:rPr>
      </w:pPr>
    </w:p>
    <w:p w14:paraId="4950740D" w14:textId="77777777" w:rsidR="00721177" w:rsidRDefault="009E25EF" w:rsidP="00606DF5">
      <w:pPr>
        <w:pStyle w:val="Subtitle"/>
        <w:ind w:left="360" w:right="95"/>
        <w:rPr>
          <w:rFonts w:cs="Arial"/>
        </w:rPr>
      </w:pPr>
      <w:r>
        <w:rPr>
          <w:rFonts w:cs="Arial"/>
        </w:rPr>
        <w:t>Appendix E</w:t>
      </w:r>
      <w:r w:rsidR="00435770">
        <w:rPr>
          <w:rFonts w:cs="Arial"/>
        </w:rPr>
        <w:t xml:space="preserve"> - Community members who assist with the work of the PCC</w:t>
      </w:r>
    </w:p>
    <w:p w14:paraId="2E80F043" w14:textId="77777777" w:rsidR="00721177" w:rsidRDefault="00721177" w:rsidP="00606DF5">
      <w:pPr>
        <w:pStyle w:val="Subtitle"/>
        <w:ind w:left="360" w:right="95"/>
        <w:rPr>
          <w:rFonts w:cs="Arial"/>
        </w:rPr>
      </w:pPr>
    </w:p>
    <w:tbl>
      <w:tblPr>
        <w:tblStyle w:val="TableGrid"/>
        <w:tblW w:w="8707" w:type="dxa"/>
        <w:tblInd w:w="360" w:type="dxa"/>
        <w:tblLook w:val="04A0" w:firstRow="1" w:lastRow="0" w:firstColumn="1" w:lastColumn="0" w:noHBand="0" w:noVBand="1"/>
      </w:tblPr>
      <w:tblGrid>
        <w:gridCol w:w="6581"/>
        <w:gridCol w:w="2126"/>
      </w:tblGrid>
      <w:tr w:rsidR="00390DB3" w14:paraId="74212D99" w14:textId="77777777" w:rsidTr="005E0ADB">
        <w:tc>
          <w:tcPr>
            <w:tcW w:w="6581" w:type="dxa"/>
          </w:tcPr>
          <w:p w14:paraId="238E1681" w14:textId="77777777" w:rsidR="00390DB3" w:rsidRDefault="00390DB3" w:rsidP="00606DF5">
            <w:pPr>
              <w:pStyle w:val="Subtitle"/>
              <w:ind w:right="95"/>
              <w:rPr>
                <w:rFonts w:cs="Arial"/>
              </w:rPr>
            </w:pPr>
            <w:r>
              <w:rPr>
                <w:rFonts w:cs="Arial"/>
              </w:rPr>
              <w:t>Role</w:t>
            </w:r>
          </w:p>
        </w:tc>
        <w:tc>
          <w:tcPr>
            <w:tcW w:w="2126" w:type="dxa"/>
          </w:tcPr>
          <w:p w14:paraId="1D021660" w14:textId="77777777" w:rsidR="00390DB3" w:rsidRDefault="00390DB3" w:rsidP="00606DF5">
            <w:pPr>
              <w:pStyle w:val="Subtitle"/>
              <w:ind w:right="95"/>
              <w:rPr>
                <w:rFonts w:cs="Arial"/>
              </w:rPr>
            </w:pPr>
            <w:r>
              <w:rPr>
                <w:rFonts w:cs="Arial"/>
              </w:rPr>
              <w:t>Scheme of allowances</w:t>
            </w:r>
          </w:p>
        </w:tc>
      </w:tr>
      <w:tr w:rsidR="00390DB3" w14:paraId="485F6590" w14:textId="77777777" w:rsidTr="005E0ADB">
        <w:tc>
          <w:tcPr>
            <w:tcW w:w="6581" w:type="dxa"/>
          </w:tcPr>
          <w:p w14:paraId="37DF46C9" w14:textId="77777777" w:rsidR="00390DB3" w:rsidRDefault="003525CF" w:rsidP="00606DF5">
            <w:pPr>
              <w:pStyle w:val="Subtitle"/>
              <w:ind w:right="95"/>
              <w:rPr>
                <w:rFonts w:cs="Arial"/>
              </w:rPr>
            </w:pPr>
            <w:r>
              <w:rPr>
                <w:rFonts w:cs="Arial"/>
                <w:b w:val="0"/>
              </w:rPr>
              <w:t>None</w:t>
            </w:r>
          </w:p>
        </w:tc>
        <w:tc>
          <w:tcPr>
            <w:tcW w:w="2126" w:type="dxa"/>
          </w:tcPr>
          <w:p w14:paraId="0BAB5EC5" w14:textId="77777777" w:rsidR="00390DB3" w:rsidRPr="00B32138" w:rsidRDefault="003525CF" w:rsidP="00606DF5">
            <w:pPr>
              <w:pStyle w:val="Subtitle"/>
              <w:ind w:right="95"/>
              <w:rPr>
                <w:rFonts w:cs="Arial"/>
                <w:b w:val="0"/>
              </w:rPr>
            </w:pPr>
            <w:r>
              <w:rPr>
                <w:rFonts w:cs="Arial"/>
                <w:b w:val="0"/>
              </w:rPr>
              <w:t>N/A</w:t>
            </w:r>
          </w:p>
        </w:tc>
      </w:tr>
    </w:tbl>
    <w:p w14:paraId="0EC80F6B" w14:textId="77777777" w:rsidR="00721177" w:rsidRDefault="00721177" w:rsidP="003525CF">
      <w:pPr>
        <w:pStyle w:val="Subtitle"/>
        <w:ind w:left="360" w:right="-613"/>
        <w:rPr>
          <w:rFonts w:cs="Arial"/>
        </w:rPr>
      </w:pPr>
    </w:p>
    <w:sectPr w:rsidR="00721177" w:rsidSect="00E85E3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0805"/>
    <w:multiLevelType w:val="singleLevel"/>
    <w:tmpl w:val="0590CC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FC112E"/>
    <w:multiLevelType w:val="multilevel"/>
    <w:tmpl w:val="9B2A0DA2"/>
    <w:lvl w:ilvl="0">
      <w:start w:val="2"/>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FB1DA4"/>
    <w:multiLevelType w:val="multilevel"/>
    <w:tmpl w:val="38EC330C"/>
    <w:lvl w:ilvl="0">
      <w:start w:val="1"/>
      <w:numFmt w:val="bullet"/>
      <w:lvlText w:val=""/>
      <w:lvlJc w:val="left"/>
      <w:pPr>
        <w:tabs>
          <w:tab w:val="num" w:pos="1440"/>
        </w:tabs>
        <w:ind w:left="1440" w:hanging="360"/>
      </w:pPr>
      <w:rPr>
        <w:rFonts w:ascii="Symbol" w:hAnsi="Symbol" w:hint="default"/>
        <w:sz w:val="20"/>
      </w:rPr>
    </w:lvl>
    <w:lvl w:ilvl="1">
      <w:numFmt w:val="bullet"/>
      <w:lvlText w:val="-"/>
      <w:lvlJc w:val="left"/>
      <w:pPr>
        <w:ind w:left="2160" w:hanging="360"/>
      </w:pPr>
      <w:rPr>
        <w:rFonts w:ascii="Arial" w:eastAsia="Times New Roman" w:hAnsi="Arial" w:cs="Arial"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4AF7FF0"/>
    <w:multiLevelType w:val="hybridMultilevel"/>
    <w:tmpl w:val="6C1CDCD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C85346"/>
    <w:multiLevelType w:val="multilevel"/>
    <w:tmpl w:val="BE4E32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8054847"/>
    <w:multiLevelType w:val="multilevel"/>
    <w:tmpl w:val="F990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72B9D"/>
    <w:multiLevelType w:val="multilevel"/>
    <w:tmpl w:val="D5082C70"/>
    <w:lvl w:ilvl="0">
      <w:start w:val="1"/>
      <w:numFmt w:val="bullet"/>
      <w:lvlText w:val=""/>
      <w:lvlJc w:val="left"/>
      <w:pPr>
        <w:tabs>
          <w:tab w:val="num" w:pos="1080"/>
        </w:tabs>
        <w:ind w:left="1080" w:hanging="360"/>
      </w:pPr>
      <w:rPr>
        <w:rFonts w:ascii="Symbol" w:hAnsi="Symbol" w:hint="default"/>
        <w:color w:val="000000" w:themeColor="text1"/>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8E3165F"/>
    <w:multiLevelType w:val="multilevel"/>
    <w:tmpl w:val="D5082C70"/>
    <w:lvl w:ilvl="0">
      <w:start w:val="1"/>
      <w:numFmt w:val="bullet"/>
      <w:lvlText w:val=""/>
      <w:lvlJc w:val="left"/>
      <w:pPr>
        <w:tabs>
          <w:tab w:val="num" w:pos="1080"/>
        </w:tabs>
        <w:ind w:left="1080" w:hanging="360"/>
      </w:pPr>
      <w:rPr>
        <w:rFonts w:ascii="Symbol" w:hAnsi="Symbol" w:hint="default"/>
        <w:color w:val="000000" w:themeColor="text1"/>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BF5563D"/>
    <w:multiLevelType w:val="multilevel"/>
    <w:tmpl w:val="C0146D28"/>
    <w:lvl w:ilvl="0">
      <w:start w:val="10"/>
      <w:numFmt w:val="decimal"/>
      <w:lvlText w:val="%1."/>
      <w:lvlJc w:val="left"/>
      <w:pPr>
        <w:ind w:left="360" w:hanging="360"/>
      </w:pPr>
      <w:rPr>
        <w:rFonts w:ascii="Arial" w:hAnsi="Arial" w:cs="Arial"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BF723F1"/>
    <w:multiLevelType w:val="singleLevel"/>
    <w:tmpl w:val="0590C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4726EE"/>
    <w:multiLevelType w:val="multilevel"/>
    <w:tmpl w:val="D5082C70"/>
    <w:lvl w:ilvl="0">
      <w:start w:val="1"/>
      <w:numFmt w:val="bullet"/>
      <w:lvlText w:val=""/>
      <w:lvlJc w:val="left"/>
      <w:pPr>
        <w:tabs>
          <w:tab w:val="num" w:pos="1080"/>
        </w:tabs>
        <w:ind w:left="1080" w:hanging="360"/>
      </w:pPr>
      <w:rPr>
        <w:rFonts w:ascii="Symbol" w:hAnsi="Symbol" w:hint="default"/>
        <w:color w:val="000000" w:themeColor="text1"/>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FA860AB"/>
    <w:multiLevelType w:val="multilevel"/>
    <w:tmpl w:val="D5082C70"/>
    <w:lvl w:ilvl="0">
      <w:start w:val="1"/>
      <w:numFmt w:val="bullet"/>
      <w:lvlText w:val=""/>
      <w:lvlJc w:val="left"/>
      <w:pPr>
        <w:tabs>
          <w:tab w:val="num" w:pos="1080"/>
        </w:tabs>
        <w:ind w:left="1080" w:hanging="360"/>
      </w:pPr>
      <w:rPr>
        <w:rFonts w:ascii="Symbol" w:hAnsi="Symbol" w:hint="default"/>
        <w:color w:val="000000" w:themeColor="text1"/>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02804C5"/>
    <w:multiLevelType w:val="hybridMultilevel"/>
    <w:tmpl w:val="139482D2"/>
    <w:lvl w:ilvl="0" w:tplc="24702A76">
      <w:start w:val="12"/>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2B7912"/>
    <w:multiLevelType w:val="hybridMultilevel"/>
    <w:tmpl w:val="D96C9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4648F3"/>
    <w:multiLevelType w:val="hybridMultilevel"/>
    <w:tmpl w:val="AE22E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060617"/>
    <w:multiLevelType w:val="multilevel"/>
    <w:tmpl w:val="A61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B23D6A"/>
    <w:multiLevelType w:val="singleLevel"/>
    <w:tmpl w:val="0590CC2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6995B18"/>
    <w:multiLevelType w:val="multilevel"/>
    <w:tmpl w:val="E9E6DD4E"/>
    <w:lvl w:ilvl="0">
      <w:start w:val="10"/>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7F607F5"/>
    <w:multiLevelType w:val="multilevel"/>
    <w:tmpl w:val="5216B028"/>
    <w:lvl w:ilvl="0">
      <w:start w:val="1"/>
      <w:numFmt w:val="decimal"/>
      <w:lvlText w:val="%1."/>
      <w:lvlJc w:val="left"/>
      <w:pPr>
        <w:tabs>
          <w:tab w:val="num" w:pos="360"/>
        </w:tabs>
        <w:ind w:left="360" w:hanging="360"/>
      </w:pPr>
      <w:rPr>
        <w:rFonts w:cs="Times New Roman"/>
      </w:rPr>
    </w:lvl>
    <w:lvl w:ilvl="1">
      <w:start w:val="1"/>
      <w:numFmt w:val="decimal"/>
      <w:suff w:val="space"/>
      <w:lvlText w:val="%1.%2."/>
      <w:lvlJc w:val="left"/>
      <w:pPr>
        <w:ind w:left="1851" w:hanging="432"/>
      </w:pPr>
      <w:rPr>
        <w:rFonts w:cs="Times New Roman"/>
        <w:b w:val="0"/>
        <w:i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6CF41869"/>
    <w:multiLevelType w:val="multilevel"/>
    <w:tmpl w:val="3112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A6E67"/>
    <w:multiLevelType w:val="singleLevel"/>
    <w:tmpl w:val="0590CC2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5D3F48"/>
    <w:multiLevelType w:val="singleLevel"/>
    <w:tmpl w:val="08090017"/>
    <w:lvl w:ilvl="0">
      <w:start w:val="1"/>
      <w:numFmt w:val="lowerLetter"/>
      <w:lvlText w:val="%1)"/>
      <w:lvlJc w:val="left"/>
      <w:pPr>
        <w:tabs>
          <w:tab w:val="num" w:pos="360"/>
        </w:tabs>
        <w:ind w:left="360" w:hanging="360"/>
      </w:pPr>
      <w:rPr>
        <w:rFonts w:cs="Times New Roman"/>
      </w:rPr>
    </w:lvl>
  </w:abstractNum>
  <w:num w:numId="1">
    <w:abstractNumId w:val="15"/>
  </w:num>
  <w:num w:numId="2">
    <w:abstractNumId w:val="19"/>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1"/>
    <w:lvlOverride w:ilvl="0">
      <w:startOverride w:val="1"/>
    </w:lvlOverride>
  </w:num>
  <w:num w:numId="7">
    <w:abstractNumId w:val="20"/>
  </w:num>
  <w:num w:numId="8">
    <w:abstractNumId w:val="16"/>
  </w:num>
  <w:num w:numId="9">
    <w:abstractNumId w:val="9"/>
  </w:num>
  <w:num w:numId="10">
    <w:abstractNumId w:val="13"/>
  </w:num>
  <w:num w:numId="11">
    <w:abstractNumId w:val="14"/>
  </w:num>
  <w:num w:numId="12">
    <w:abstractNumId w:val="1"/>
  </w:num>
  <w:num w:numId="13">
    <w:abstractNumId w:val="3"/>
  </w:num>
  <w:num w:numId="14">
    <w:abstractNumId w:val="4"/>
  </w:num>
  <w:num w:numId="15">
    <w:abstractNumId w:val="2"/>
  </w:num>
  <w:num w:numId="16">
    <w:abstractNumId w:val="13"/>
  </w:num>
  <w:num w:numId="17">
    <w:abstractNumId w:val="7"/>
  </w:num>
  <w:num w:numId="18">
    <w:abstractNumId w:val="8"/>
  </w:num>
  <w:num w:numId="19">
    <w:abstractNumId w:val="17"/>
  </w:num>
  <w:num w:numId="20">
    <w:abstractNumId w:val="12"/>
  </w:num>
  <w:num w:numId="21">
    <w:abstractNumId w:val="6"/>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6F"/>
    <w:rsid w:val="00046A84"/>
    <w:rsid w:val="000A1BF7"/>
    <w:rsid w:val="000D1F01"/>
    <w:rsid w:val="001E1E6B"/>
    <w:rsid w:val="00200D39"/>
    <w:rsid w:val="00213E9A"/>
    <w:rsid w:val="00260FB1"/>
    <w:rsid w:val="00292E6F"/>
    <w:rsid w:val="002E70E3"/>
    <w:rsid w:val="00321EA0"/>
    <w:rsid w:val="00343859"/>
    <w:rsid w:val="003525CF"/>
    <w:rsid w:val="00390DB3"/>
    <w:rsid w:val="00402B48"/>
    <w:rsid w:val="0041045F"/>
    <w:rsid w:val="00435770"/>
    <w:rsid w:val="00481EFF"/>
    <w:rsid w:val="00484B74"/>
    <w:rsid w:val="004A6B96"/>
    <w:rsid w:val="004B29BC"/>
    <w:rsid w:val="004C01B4"/>
    <w:rsid w:val="00546EC8"/>
    <w:rsid w:val="00595ADF"/>
    <w:rsid w:val="005B1606"/>
    <w:rsid w:val="005E0ADB"/>
    <w:rsid w:val="00606DF5"/>
    <w:rsid w:val="0063397B"/>
    <w:rsid w:val="00670FB3"/>
    <w:rsid w:val="00675A7B"/>
    <w:rsid w:val="007101E8"/>
    <w:rsid w:val="00721177"/>
    <w:rsid w:val="008554DA"/>
    <w:rsid w:val="008A5287"/>
    <w:rsid w:val="008A557C"/>
    <w:rsid w:val="00902BD1"/>
    <w:rsid w:val="009B2A18"/>
    <w:rsid w:val="009C5CB6"/>
    <w:rsid w:val="009E25EF"/>
    <w:rsid w:val="00A1094F"/>
    <w:rsid w:val="00A953A0"/>
    <w:rsid w:val="00AB46A0"/>
    <w:rsid w:val="00B32138"/>
    <w:rsid w:val="00B3477B"/>
    <w:rsid w:val="00B556AB"/>
    <w:rsid w:val="00BC1614"/>
    <w:rsid w:val="00CE65F4"/>
    <w:rsid w:val="00D03070"/>
    <w:rsid w:val="00D1734A"/>
    <w:rsid w:val="00D602AF"/>
    <w:rsid w:val="00DE1F6E"/>
    <w:rsid w:val="00E85E31"/>
    <w:rsid w:val="00E97265"/>
    <w:rsid w:val="00EA76FF"/>
    <w:rsid w:val="00EC2120"/>
    <w:rsid w:val="00EE1C11"/>
    <w:rsid w:val="00F1520D"/>
    <w:rsid w:val="00F2132B"/>
    <w:rsid w:val="00F70CC7"/>
    <w:rsid w:val="00FB0997"/>
    <w:rsid w:val="00FE7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19BEAC2"/>
  <w15:chartTrackingRefBased/>
  <w15:docId w15:val="{7F9FBD47-605C-4BCB-B02F-CE02056C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2E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92E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292E6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E6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92E6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92E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292E6F"/>
  </w:style>
  <w:style w:type="character" w:customStyle="1" w:styleId="Heading5Char">
    <w:name w:val="Heading 5 Char"/>
    <w:basedOn w:val="DefaultParagraphFont"/>
    <w:link w:val="Heading5"/>
    <w:uiPriority w:val="9"/>
    <w:semiHidden/>
    <w:rsid w:val="00292E6F"/>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99"/>
    <w:semiHidden/>
    <w:unhideWhenUsed/>
    <w:rsid w:val="00292E6F"/>
    <w:pPr>
      <w:spacing w:after="0" w:line="240" w:lineRule="auto"/>
      <w:jc w:val="center"/>
    </w:pPr>
    <w:rPr>
      <w:rFonts w:ascii="Times New Roman" w:eastAsia="Times New Roman" w:hAnsi="Times New Roman" w:cs="Times New Roman"/>
      <w:b/>
      <w:szCs w:val="20"/>
      <w:lang w:eastAsia="en-GB"/>
    </w:rPr>
  </w:style>
  <w:style w:type="character" w:customStyle="1" w:styleId="BodyTextChar">
    <w:name w:val="Body Text Char"/>
    <w:basedOn w:val="DefaultParagraphFont"/>
    <w:link w:val="BodyText"/>
    <w:uiPriority w:val="99"/>
    <w:semiHidden/>
    <w:rsid w:val="00292E6F"/>
    <w:rPr>
      <w:rFonts w:ascii="Times New Roman" w:eastAsia="Times New Roman" w:hAnsi="Times New Roman" w:cs="Times New Roman"/>
      <w:b/>
      <w:szCs w:val="20"/>
      <w:lang w:eastAsia="en-GB"/>
    </w:rPr>
  </w:style>
  <w:style w:type="paragraph" w:styleId="BodyTextIndent">
    <w:name w:val="Body Text Indent"/>
    <w:basedOn w:val="Normal"/>
    <w:link w:val="BodyTextIndentChar"/>
    <w:uiPriority w:val="99"/>
    <w:semiHidden/>
    <w:unhideWhenUsed/>
    <w:rsid w:val="00292E6F"/>
    <w:pPr>
      <w:spacing w:after="0" w:line="240" w:lineRule="auto"/>
      <w:ind w:left="426"/>
    </w:pPr>
    <w:rPr>
      <w:rFonts w:ascii="Arial Narrow" w:eastAsia="Times New Roman" w:hAnsi="Arial Narrow" w:cs="Times New Roman"/>
      <w:sz w:val="24"/>
      <w:szCs w:val="20"/>
      <w:lang w:eastAsia="en-GB"/>
    </w:rPr>
  </w:style>
  <w:style w:type="character" w:customStyle="1" w:styleId="BodyTextIndentChar">
    <w:name w:val="Body Text Indent Char"/>
    <w:basedOn w:val="DefaultParagraphFont"/>
    <w:link w:val="BodyTextIndent"/>
    <w:uiPriority w:val="99"/>
    <w:semiHidden/>
    <w:rsid w:val="00292E6F"/>
    <w:rPr>
      <w:rFonts w:ascii="Arial Narrow" w:eastAsia="Times New Roman" w:hAnsi="Arial Narrow" w:cs="Times New Roman"/>
      <w:sz w:val="24"/>
      <w:szCs w:val="20"/>
      <w:lang w:eastAsia="en-GB"/>
    </w:rPr>
  </w:style>
  <w:style w:type="paragraph" w:styleId="Subtitle">
    <w:name w:val="Subtitle"/>
    <w:basedOn w:val="Normal"/>
    <w:link w:val="SubtitleChar"/>
    <w:uiPriority w:val="99"/>
    <w:qFormat/>
    <w:rsid w:val="00292E6F"/>
    <w:pPr>
      <w:spacing w:after="0" w:line="240" w:lineRule="auto"/>
    </w:pPr>
    <w:rPr>
      <w:rFonts w:ascii="Arial" w:eastAsia="Times New Roman" w:hAnsi="Arial" w:cs="Times New Roman"/>
      <w:b/>
      <w:sz w:val="24"/>
      <w:szCs w:val="20"/>
      <w:lang w:eastAsia="en-GB"/>
    </w:rPr>
  </w:style>
  <w:style w:type="character" w:customStyle="1" w:styleId="SubtitleChar">
    <w:name w:val="Subtitle Char"/>
    <w:basedOn w:val="DefaultParagraphFont"/>
    <w:link w:val="Subtitle"/>
    <w:uiPriority w:val="99"/>
    <w:rsid w:val="00292E6F"/>
    <w:rPr>
      <w:rFonts w:ascii="Arial" w:eastAsia="Times New Roman" w:hAnsi="Arial" w:cs="Times New Roman"/>
      <w:b/>
      <w:sz w:val="24"/>
      <w:szCs w:val="20"/>
      <w:lang w:eastAsia="en-GB"/>
    </w:rPr>
  </w:style>
  <w:style w:type="paragraph" w:styleId="BodyTextIndent2">
    <w:name w:val="Body Text Indent 2"/>
    <w:basedOn w:val="Normal"/>
    <w:link w:val="BodyTextIndent2Char"/>
    <w:uiPriority w:val="99"/>
    <w:semiHidden/>
    <w:unhideWhenUsed/>
    <w:rsid w:val="00292E6F"/>
    <w:pPr>
      <w:spacing w:after="0" w:line="240" w:lineRule="auto"/>
      <w:ind w:left="792"/>
    </w:pPr>
    <w:rPr>
      <w:rFonts w:ascii="Arial Narrow" w:eastAsia="Times New Roman" w:hAnsi="Arial Narrow" w:cs="Times New Roman"/>
      <w:sz w:val="24"/>
      <w:szCs w:val="20"/>
      <w:lang w:eastAsia="en-GB"/>
    </w:rPr>
  </w:style>
  <w:style w:type="character" w:customStyle="1" w:styleId="BodyTextIndent2Char">
    <w:name w:val="Body Text Indent 2 Char"/>
    <w:basedOn w:val="DefaultParagraphFont"/>
    <w:link w:val="BodyTextIndent2"/>
    <w:uiPriority w:val="99"/>
    <w:semiHidden/>
    <w:rsid w:val="00292E6F"/>
    <w:rPr>
      <w:rFonts w:ascii="Arial Narrow" w:eastAsia="Times New Roman" w:hAnsi="Arial Narrow" w:cs="Times New Roman"/>
      <w:sz w:val="24"/>
      <w:szCs w:val="20"/>
      <w:lang w:eastAsia="en-GB"/>
    </w:rPr>
  </w:style>
  <w:style w:type="paragraph" w:customStyle="1" w:styleId="Default">
    <w:name w:val="Default"/>
    <w:rsid w:val="00292E6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92E6F"/>
    <w:pPr>
      <w:ind w:left="720"/>
      <w:contextualSpacing/>
    </w:pPr>
  </w:style>
  <w:style w:type="table" w:styleId="GridTable1Light-Accent6">
    <w:name w:val="Grid Table 1 Light Accent 6"/>
    <w:basedOn w:val="TableNormal"/>
    <w:uiPriority w:val="46"/>
    <w:rsid w:val="00D1734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
    <w:name w:val="Table Grid"/>
    <w:basedOn w:val="TableNormal"/>
    <w:uiPriority w:val="39"/>
    <w:rsid w:val="0072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E6B"/>
    <w:rPr>
      <w:rFonts w:ascii="Segoe UI" w:hAnsi="Segoe UI" w:cs="Segoe UI"/>
      <w:sz w:val="18"/>
      <w:szCs w:val="18"/>
    </w:rPr>
  </w:style>
  <w:style w:type="character" w:styleId="Hyperlink">
    <w:name w:val="Hyperlink"/>
    <w:basedOn w:val="DefaultParagraphFont"/>
    <w:uiPriority w:val="99"/>
    <w:unhideWhenUsed/>
    <w:rsid w:val="001E1E6B"/>
    <w:rPr>
      <w:color w:val="0563C1" w:themeColor="hyperlink"/>
      <w:u w:val="single"/>
    </w:rPr>
  </w:style>
  <w:style w:type="character" w:styleId="UnresolvedMention">
    <w:name w:val="Unresolved Mention"/>
    <w:basedOn w:val="DefaultParagraphFont"/>
    <w:uiPriority w:val="99"/>
    <w:semiHidden/>
    <w:unhideWhenUsed/>
    <w:rsid w:val="001E1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330966">
      <w:bodyDiv w:val="1"/>
      <w:marLeft w:val="0"/>
      <w:marRight w:val="0"/>
      <w:marTop w:val="0"/>
      <w:marBottom w:val="0"/>
      <w:divBdr>
        <w:top w:val="none" w:sz="0" w:space="0" w:color="auto"/>
        <w:left w:val="none" w:sz="0" w:space="0" w:color="auto"/>
        <w:bottom w:val="none" w:sz="0" w:space="0" w:color="auto"/>
        <w:right w:val="none" w:sz="0" w:space="0" w:color="auto"/>
      </w:divBdr>
      <w:divsChild>
        <w:div w:id="1555501772">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0"/>
              <w:marBottom w:val="0"/>
              <w:divBdr>
                <w:top w:val="none" w:sz="0" w:space="0" w:color="auto"/>
                <w:left w:val="none" w:sz="0" w:space="0" w:color="auto"/>
                <w:bottom w:val="none" w:sz="0" w:space="0" w:color="auto"/>
                <w:right w:val="none" w:sz="0" w:space="0" w:color="auto"/>
              </w:divBdr>
              <w:divsChild>
                <w:div w:id="1960257427">
                  <w:marLeft w:val="0"/>
                  <w:marRight w:val="0"/>
                  <w:marTop w:val="0"/>
                  <w:marBottom w:val="0"/>
                  <w:divBdr>
                    <w:top w:val="none" w:sz="0" w:space="0" w:color="auto"/>
                    <w:left w:val="none" w:sz="0" w:space="0" w:color="auto"/>
                    <w:bottom w:val="none" w:sz="0" w:space="0" w:color="auto"/>
                    <w:right w:val="none" w:sz="0" w:space="0" w:color="auto"/>
                  </w:divBdr>
                  <w:divsChild>
                    <w:div w:id="289433036">
                      <w:marLeft w:val="0"/>
                      <w:marRight w:val="0"/>
                      <w:marTop w:val="0"/>
                      <w:marBottom w:val="0"/>
                      <w:divBdr>
                        <w:top w:val="none" w:sz="0" w:space="0" w:color="auto"/>
                        <w:left w:val="none" w:sz="0" w:space="0" w:color="auto"/>
                        <w:bottom w:val="none" w:sz="0" w:space="0" w:color="auto"/>
                        <w:right w:val="none" w:sz="0" w:space="0" w:color="auto"/>
                      </w:divBdr>
                      <w:divsChild>
                        <w:div w:id="366177798">
                          <w:marLeft w:val="0"/>
                          <w:marRight w:val="0"/>
                          <w:marTop w:val="0"/>
                          <w:marBottom w:val="0"/>
                          <w:divBdr>
                            <w:top w:val="none" w:sz="0" w:space="0" w:color="auto"/>
                            <w:left w:val="none" w:sz="0" w:space="0" w:color="auto"/>
                            <w:bottom w:val="none" w:sz="0" w:space="0" w:color="auto"/>
                            <w:right w:val="none" w:sz="0" w:space="0" w:color="auto"/>
                          </w:divBdr>
                          <w:divsChild>
                            <w:div w:id="1183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32375">
      <w:bodyDiv w:val="1"/>
      <w:marLeft w:val="0"/>
      <w:marRight w:val="0"/>
      <w:marTop w:val="0"/>
      <w:marBottom w:val="0"/>
      <w:divBdr>
        <w:top w:val="none" w:sz="0" w:space="0" w:color="auto"/>
        <w:left w:val="none" w:sz="0" w:space="0" w:color="auto"/>
        <w:bottom w:val="none" w:sz="0" w:space="0" w:color="auto"/>
        <w:right w:val="none" w:sz="0" w:space="0" w:color="auto"/>
      </w:divBdr>
      <w:divsChild>
        <w:div w:id="313998455">
          <w:marLeft w:val="0"/>
          <w:marRight w:val="0"/>
          <w:marTop w:val="0"/>
          <w:marBottom w:val="0"/>
          <w:divBdr>
            <w:top w:val="none" w:sz="0" w:space="0" w:color="auto"/>
            <w:left w:val="none" w:sz="0" w:space="0" w:color="auto"/>
            <w:bottom w:val="none" w:sz="0" w:space="0" w:color="auto"/>
            <w:right w:val="none" w:sz="0" w:space="0" w:color="auto"/>
          </w:divBdr>
          <w:divsChild>
            <w:div w:id="439883444">
              <w:marLeft w:val="0"/>
              <w:marRight w:val="0"/>
              <w:marTop w:val="0"/>
              <w:marBottom w:val="0"/>
              <w:divBdr>
                <w:top w:val="none" w:sz="0" w:space="0" w:color="auto"/>
                <w:left w:val="none" w:sz="0" w:space="0" w:color="auto"/>
                <w:bottom w:val="none" w:sz="0" w:space="0" w:color="auto"/>
                <w:right w:val="none" w:sz="0" w:space="0" w:color="auto"/>
              </w:divBdr>
              <w:divsChild>
                <w:div w:id="645859059">
                  <w:marLeft w:val="0"/>
                  <w:marRight w:val="0"/>
                  <w:marTop w:val="0"/>
                  <w:marBottom w:val="0"/>
                  <w:divBdr>
                    <w:top w:val="none" w:sz="0" w:space="0" w:color="auto"/>
                    <w:left w:val="none" w:sz="0" w:space="0" w:color="auto"/>
                    <w:bottom w:val="none" w:sz="0" w:space="0" w:color="auto"/>
                    <w:right w:val="none" w:sz="0" w:space="0" w:color="auto"/>
                  </w:divBdr>
                  <w:divsChild>
                    <w:div w:id="1553998444">
                      <w:marLeft w:val="0"/>
                      <w:marRight w:val="0"/>
                      <w:marTop w:val="0"/>
                      <w:marBottom w:val="0"/>
                      <w:divBdr>
                        <w:top w:val="none" w:sz="0" w:space="0" w:color="auto"/>
                        <w:left w:val="none" w:sz="0" w:space="0" w:color="auto"/>
                        <w:bottom w:val="none" w:sz="0" w:space="0" w:color="auto"/>
                        <w:right w:val="none" w:sz="0" w:space="0" w:color="auto"/>
                      </w:divBdr>
                      <w:divsChild>
                        <w:div w:id="887107626">
                          <w:marLeft w:val="0"/>
                          <w:marRight w:val="0"/>
                          <w:marTop w:val="0"/>
                          <w:marBottom w:val="0"/>
                          <w:divBdr>
                            <w:top w:val="none" w:sz="0" w:space="0" w:color="auto"/>
                            <w:left w:val="none" w:sz="0" w:space="0" w:color="auto"/>
                            <w:bottom w:val="none" w:sz="0" w:space="0" w:color="auto"/>
                            <w:right w:val="none" w:sz="0" w:space="0" w:color="auto"/>
                          </w:divBdr>
                          <w:divsChild>
                            <w:div w:id="85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526872">
      <w:bodyDiv w:val="1"/>
      <w:marLeft w:val="0"/>
      <w:marRight w:val="0"/>
      <w:marTop w:val="0"/>
      <w:marBottom w:val="0"/>
      <w:divBdr>
        <w:top w:val="none" w:sz="0" w:space="0" w:color="auto"/>
        <w:left w:val="none" w:sz="0" w:space="0" w:color="auto"/>
        <w:bottom w:val="none" w:sz="0" w:space="0" w:color="auto"/>
        <w:right w:val="none" w:sz="0" w:space="0" w:color="auto"/>
      </w:divBdr>
    </w:div>
    <w:div w:id="1856532885">
      <w:bodyDiv w:val="1"/>
      <w:marLeft w:val="0"/>
      <w:marRight w:val="0"/>
      <w:marTop w:val="0"/>
      <w:marBottom w:val="0"/>
      <w:divBdr>
        <w:top w:val="none" w:sz="0" w:space="0" w:color="auto"/>
        <w:left w:val="none" w:sz="0" w:space="0" w:color="auto"/>
        <w:bottom w:val="none" w:sz="0" w:space="0" w:color="auto"/>
        <w:right w:val="none" w:sz="0" w:space="0" w:color="auto"/>
      </w:divBdr>
      <w:divsChild>
        <w:div w:id="1126922244">
          <w:marLeft w:val="0"/>
          <w:marRight w:val="0"/>
          <w:marTop w:val="0"/>
          <w:marBottom w:val="0"/>
          <w:divBdr>
            <w:top w:val="none" w:sz="0" w:space="0" w:color="auto"/>
            <w:left w:val="none" w:sz="0" w:space="0" w:color="auto"/>
            <w:bottom w:val="none" w:sz="0" w:space="0" w:color="auto"/>
            <w:right w:val="none" w:sz="0" w:space="0" w:color="auto"/>
          </w:divBdr>
          <w:divsChild>
            <w:div w:id="649211465">
              <w:marLeft w:val="0"/>
              <w:marRight w:val="0"/>
              <w:marTop w:val="0"/>
              <w:marBottom w:val="0"/>
              <w:divBdr>
                <w:top w:val="none" w:sz="0" w:space="0" w:color="auto"/>
                <w:left w:val="none" w:sz="0" w:space="0" w:color="auto"/>
                <w:bottom w:val="none" w:sz="0" w:space="0" w:color="auto"/>
                <w:right w:val="none" w:sz="0" w:space="0" w:color="auto"/>
              </w:divBdr>
              <w:divsChild>
                <w:div w:id="1210416985">
                  <w:marLeft w:val="0"/>
                  <w:marRight w:val="0"/>
                  <w:marTop w:val="0"/>
                  <w:marBottom w:val="0"/>
                  <w:divBdr>
                    <w:top w:val="none" w:sz="0" w:space="0" w:color="auto"/>
                    <w:left w:val="none" w:sz="0" w:space="0" w:color="auto"/>
                    <w:bottom w:val="none" w:sz="0" w:space="0" w:color="auto"/>
                    <w:right w:val="none" w:sz="0" w:space="0" w:color="auto"/>
                  </w:divBdr>
                  <w:divsChild>
                    <w:div w:id="1592662146">
                      <w:marLeft w:val="0"/>
                      <w:marRight w:val="0"/>
                      <w:marTop w:val="0"/>
                      <w:marBottom w:val="0"/>
                      <w:divBdr>
                        <w:top w:val="none" w:sz="0" w:space="0" w:color="auto"/>
                        <w:left w:val="none" w:sz="0" w:space="0" w:color="auto"/>
                        <w:bottom w:val="none" w:sz="0" w:space="0" w:color="auto"/>
                        <w:right w:val="none" w:sz="0" w:space="0" w:color="auto"/>
                      </w:divBdr>
                      <w:divsChild>
                        <w:div w:id="986326965">
                          <w:marLeft w:val="0"/>
                          <w:marRight w:val="0"/>
                          <w:marTop w:val="0"/>
                          <w:marBottom w:val="0"/>
                          <w:divBdr>
                            <w:top w:val="none" w:sz="0" w:space="0" w:color="auto"/>
                            <w:left w:val="none" w:sz="0" w:space="0" w:color="auto"/>
                            <w:bottom w:val="none" w:sz="0" w:space="0" w:color="auto"/>
                            <w:right w:val="none" w:sz="0" w:space="0" w:color="auto"/>
                          </w:divBdr>
                          <w:divsChild>
                            <w:div w:id="11501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Microsoft_Word_97_-_2003_Document.doc"/><Relationship Id="rId12" Type="http://schemas.openxmlformats.org/officeDocument/2006/relationships/image" Target="media/image4.emf"/><Relationship Id="rId17" Type="http://schemas.openxmlformats.org/officeDocument/2006/relationships/oleObject" Target="embeddings/Microsoft_Word_97_-_2003_Document2.doc"/><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8796-93A3-4A78-8AB3-7326EAC0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DCP</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Eleanor 90526</dc:creator>
  <cp:keywords/>
  <dc:description/>
  <cp:lastModifiedBy>TANNER Eleanor 90526</cp:lastModifiedBy>
  <cp:revision>18</cp:revision>
  <cp:lastPrinted>2020-09-02T14:16:00Z</cp:lastPrinted>
  <dcterms:created xsi:type="dcterms:W3CDTF">2019-07-12T15:23:00Z</dcterms:created>
  <dcterms:modified xsi:type="dcterms:W3CDTF">2020-11-13T10:01:00Z</dcterms:modified>
</cp:coreProperties>
</file>